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</w:pPr>
      <w:r>
        <w:rPr>
          <w:sz w:val="28"/>
          <w:szCs w:val="28"/>
        </w:rPr>
        <w:t xml:space="preserve">высшего образования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«Гжельский государственный университет»</w:t>
      </w:r>
      <w:r/>
    </w:p>
    <w:p>
      <w:pPr>
        <w:jc w:val="center"/>
      </w:pPr>
      <w:r>
        <w:rPr>
          <w:sz w:val="28"/>
          <w:szCs w:val="28"/>
        </w:rPr>
        <w:t xml:space="preserve">(Колледж ГГУ)</w:t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right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РАБОЧАЯ ПРОГРАММа ДИСЦИПЛИНЫ</w:t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  <w:r/>
    </w:p>
    <w:p>
      <w:pPr>
        <w:pStyle w:val="831"/>
        <w:jc w:val="center"/>
        <w:rPr>
          <w:lang w:eastAsia="ru-RU"/>
        </w:rPr>
      </w:pPr>
      <w:r>
        <w:rPr>
          <w:b/>
        </w:rPr>
        <w:t xml:space="preserve">ОП.10. ЧИСЛЕННЫЕ МЕТОДЫ</w:t>
      </w:r>
      <w:r/>
    </w:p>
    <w:p>
      <w:pPr>
        <w:ind w:firstLine="708"/>
        <w:jc w:val="both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eastAsia="ru-RU"/>
        </w:rPr>
      </w:pPr>
      <w:r>
        <w:rPr>
          <w:lang w:eastAsia="ru-RU"/>
        </w:rPr>
      </w:r>
      <w:r/>
    </w:p>
    <w:p>
      <w:pPr>
        <w:ind w:firstLine="708"/>
        <w:jc w:val="both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Специальность: 09.02.07 Информационные системы и программирование</w:t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пос. Электроизолятор,</w:t>
      </w:r>
      <w:r/>
    </w:p>
    <w:p>
      <w:pPr>
        <w:pStyle w:val="818"/>
        <w:ind w:left="0"/>
        <w:jc w:val="center"/>
        <w:spacing w:after="0" w:line="240" w:lineRule="auto"/>
        <w:tabs>
          <w:tab w:val="left" w:pos="4066" w:leader="none"/>
        </w:tabs>
        <w:rPr>
          <w:bCs/>
        </w:rPr>
      </w:pPr>
      <w:r>
        <w:rPr>
          <w:bCs/>
        </w:rPr>
        <w:t xml:space="preserve">202</w:t>
      </w:r>
      <w:r>
        <w:rPr>
          <w:bCs/>
        </w:rPr>
        <w:t xml:space="preserve">3</w:t>
      </w:r>
      <w:r>
        <w:rPr>
          <w:bCs/>
        </w:rPr>
        <w:t xml:space="preserve"> г.</w:t>
      </w:r>
      <w:r/>
    </w:p>
    <w:p>
      <w:pPr>
        <w:pStyle w:val="835"/>
        <w:jc w:val="both"/>
      </w:pPr>
      <w:r>
        <w:rPr>
          <w:rFonts w:ascii="Times New Roman" w:hAnsi="Times New Roman" w:eastAsia="Calibri" w:cs="Times New Roman"/>
          <w:b w:val="0"/>
          <w:spacing w:val="-5"/>
          <w:sz w:val="24"/>
          <w:szCs w:val="24"/>
          <w:highlight w:val="white"/>
        </w:rPr>
        <w:t xml:space="preserve">Рабочая программа разработана в соответствие с</w:t>
      </w:r>
      <w:r>
        <w:rPr>
          <w:rFonts w:ascii="Times New Roman" w:hAnsi="Times New Roman" w:eastAsia="Calibri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09.02.07 Информационные системы и программирование</w:t>
      </w:r>
      <w:r>
        <w:rPr>
          <w:rFonts w:ascii="Times New Roman" w:hAnsi="Times New Roman" w:eastAsia="Calibri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09.12. 2016 г. N 1547</w:t>
      </w:r>
      <w:r>
        <w:rPr>
          <w:rFonts w:ascii="Times New Roman" w:hAnsi="Times New Roman" w:eastAsia="Calibri" w:cs="Times New Roman"/>
          <w:b w:val="0"/>
          <w:sz w:val="24"/>
          <w:szCs w:val="24"/>
        </w:rPr>
        <w:t xml:space="preserve">) </w:t>
      </w:r>
      <w:r/>
    </w:p>
    <w:p>
      <w:pPr>
        <w:ind w:firstLine="708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b/>
        </w:rPr>
      </w:pPr>
      <w:r>
        <w:rPr>
          <w:rFonts w:eastAsia="Calibri"/>
          <w:b/>
        </w:rPr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Рассмотрено на заседании цикловой комиссии: </w:t>
      </w:r>
      <w:r/>
    </w:p>
    <w:p>
      <w:pPr>
        <w:pStyle w:val="830"/>
        <w:ind w:left="0"/>
        <w:jc w:val="both"/>
        <w:spacing w:after="0" w:line="240" w:lineRule="auto"/>
      </w:pPr>
      <w:r/>
      <w:bookmarkStart w:id="0" w:name="_Hlk145055087"/>
      <w:r>
        <w:rPr>
          <w:rFonts w:ascii="Times New Roman" w:hAnsi="Times New Roman"/>
          <w:sz w:val="24"/>
          <w:szCs w:val="24"/>
        </w:rPr>
        <w:t xml:space="preserve">Протокол № 01 от «31» августа 202</w:t>
      </w:r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 г.</w:t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Председатель цикловой комиссии </w:t>
      </w:r>
      <w:r>
        <w:t xml:space="preserve">Тунёв</w:t>
      </w:r>
      <w:r>
        <w:t xml:space="preserve"> Н.А.</w:t>
      </w:r>
      <w:bookmarkEnd w:id="0"/>
      <w:r/>
    </w:p>
    <w:p>
      <w:pPr>
        <w:rPr>
          <w:lang w:eastAsia="en-US"/>
        </w:rPr>
      </w:pPr>
      <w:r>
        <w:br w:type="page" w:clear="all"/>
      </w:r>
      <w:r/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>
        <w:trPr>
          <w:trHeight w:val="23"/>
        </w:trPr>
        <w:tc>
          <w:tcPr>
            <w:tcW w:w="8648" w:type="dxa"/>
            <w:textDirection w:val="lrTb"/>
            <w:noWrap w:val="false"/>
          </w:tcPr>
          <w:p>
            <w:pPr>
              <w:ind w:firstLine="709"/>
              <w:jc w:val="center"/>
              <w:pageBreakBefore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/>
          </w:p>
          <w:p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numPr>
                <w:ilvl w:val="0"/>
                <w:numId w:val="7"/>
              </w:numPr>
            </w:pPr>
            <w:r>
              <w:t xml:space="preserve">Общая характеристика рабочей программы учебной дисциплины </w:t>
            </w:r>
            <w:r/>
          </w:p>
          <w:p>
            <w:pPr>
              <w:numPr>
                <w:ilvl w:val="0"/>
                <w:numId w:val="7"/>
              </w:numPr>
            </w:pPr>
            <w:r>
              <w:t xml:space="preserve">Структура и содержание учебной дисциплины</w:t>
            </w:r>
            <w:r/>
          </w:p>
          <w:p>
            <w:pPr>
              <w:ind w:left="709"/>
              <w:tabs>
                <w:tab w:val="left" w:pos="993" w:leader="none"/>
              </w:tabs>
            </w:pPr>
            <w:r>
              <w:t xml:space="preserve">    2.1. Объем учебной дисциплины и виды учебной работы</w:t>
            </w:r>
            <w:r/>
          </w:p>
          <w:p>
            <w:pPr>
              <w:ind w:left="284"/>
              <w:tabs>
                <w:tab w:val="left" w:pos="993" w:leader="none"/>
              </w:tabs>
            </w:pPr>
            <w:r>
              <w:t xml:space="preserve">           2.2. Тематический план и содержание учебной дисциплины</w:t>
            </w:r>
            <w:r/>
          </w:p>
          <w:p>
            <w:pPr>
              <w:numPr>
                <w:ilvl w:val="0"/>
                <w:numId w:val="7"/>
              </w:numPr>
            </w:pPr>
            <w:r>
              <w:t xml:space="preserve">Условия реализации рабочей программы учебной дисциплины</w:t>
            </w:r>
            <w:r/>
          </w:p>
          <w:p>
            <w:pPr>
              <w:numPr>
                <w:ilvl w:val="0"/>
                <w:numId w:val="7"/>
              </w:numPr>
            </w:pPr>
            <w:r>
              <w:t xml:space="preserve">Контроль и оценка результатов учебной дисциплины</w:t>
            </w:r>
            <w:r/>
          </w:p>
          <w:p>
            <w:r/>
            <w:r/>
          </w:p>
        </w:tc>
        <w:tc>
          <w:tcPr>
            <w:tcW w:w="508" w:type="dxa"/>
            <w:textDirection w:val="lrTb"/>
            <w:noWrap w:val="false"/>
          </w:tcPr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4</w:t>
            </w:r>
            <w:r/>
          </w:p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6</w:t>
            </w:r>
            <w:r/>
          </w:p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6</w:t>
            </w:r>
            <w:r/>
          </w:p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7</w:t>
            </w:r>
            <w:r/>
          </w:p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9</w:t>
            </w:r>
            <w:r/>
          </w:p>
          <w:p>
            <w:pPr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10</w:t>
            </w:r>
            <w:r/>
          </w:p>
        </w:tc>
      </w:tr>
    </w:tbl>
    <w:p>
      <w:pPr>
        <w:rPr>
          <w:lang w:eastAsia="en-US"/>
        </w:rPr>
      </w:pPr>
      <w:r>
        <w:rPr>
          <w:lang w:eastAsia="en-US"/>
        </w:rPr>
      </w:r>
      <w:r/>
    </w:p>
    <w:p>
      <w:pPr>
        <w:jc w:val="both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eastAsia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0" w:footer="708" w:gutter="0"/>
          <w:cols w:num="1" w:sep="0" w:space="720" w:equalWidth="1"/>
          <w:docGrid w:linePitch="360"/>
        </w:sectPr>
      </w:pPr>
      <w:r>
        <w:rPr>
          <w:lang w:eastAsia="en-US"/>
        </w:rPr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</w:rPr>
      </w:pPr>
      <w:r>
        <w:rPr>
          <w:b/>
          <w:caps/>
        </w:rPr>
        <w:t xml:space="preserve">1. общая характеристика рабочей ПРОГРАММЫ УЧЕБНОЙ ДИСЦИПЛИНЫ</w:t>
      </w:r>
      <w:r/>
    </w:p>
    <w:p>
      <w:pPr>
        <w:jc w:val="center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</w:rPr>
      </w:pPr>
      <w:r>
        <w:rPr>
          <w:b/>
          <w:caps/>
        </w:rPr>
      </w:r>
      <w:r/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</w:rPr>
        <w:t xml:space="preserve">1.1. Область применения программы</w:t>
      </w:r>
      <w:r/>
    </w:p>
    <w:p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 xml:space="preserve">09.02.07 Информационные системы и программирование</w:t>
      </w:r>
      <w:r>
        <w:t xml:space="preserve">, входящей в укрупнённую группу ТОП-50 09.00.00 Информатика и вычислительная техника.</w:t>
      </w:r>
      <w:r/>
    </w:p>
    <w:p>
      <w:pPr>
        <w:ind w:firstLine="709"/>
        <w:jc w:val="both"/>
      </w:pPr>
      <w:r/>
      <w:r/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  <w:t xml:space="preserve">1.2. Место дисциплины в структуре основной профессиональной образовательной программы</w:t>
      </w:r>
      <w:r/>
    </w:p>
    <w:p>
      <w:pPr>
        <w:ind w:firstLine="709"/>
        <w:jc w:val="both"/>
      </w:pPr>
      <w:r>
        <w:t xml:space="preserve">Учебная дисциплина «Численные методы» принадлежит к общепрофессиональному циклу.</w:t>
      </w:r>
      <w:r/>
    </w:p>
    <w:p>
      <w:pPr>
        <w:ind w:firstLine="709"/>
        <w:jc w:val="both"/>
      </w:pPr>
      <w:r/>
      <w:r/>
    </w:p>
    <w:p>
      <w:pPr>
        <w:spacing w:line="360" w:lineRule="auto"/>
        <w:rPr>
          <w:b/>
        </w:rPr>
      </w:pPr>
      <w:r>
        <w:rPr>
          <w:b/>
        </w:rPr>
        <w:t xml:space="preserve">1.3. Цель и планируемые результаты освоения дисциплины:</w:t>
      </w:r>
      <w:r/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708"/>
              <w:jc w:val="center"/>
              <w:spacing w:before="0" w:after="0"/>
              <w:rPr>
                <w:rStyle w:val="801"/>
                <w:rFonts w:ascii="Times New Roman" w:hAnsi="Times New Roman" w:eastAsia="Calibri" w:cs="Times New Roman"/>
                <w:sz w:val="24"/>
                <w:szCs w:val="24"/>
                <w:lang w:val="ru-RU" w:eastAsia="ru-RU"/>
              </w:rPr>
            </w:pPr>
            <w:r/>
            <w:bookmarkStart w:id="1" w:name="_Hlk145054718"/>
            <w:r>
              <w:rPr>
                <w:rStyle w:val="801"/>
                <w:rFonts w:ascii="Times New Roman" w:hAnsi="Times New Roman" w:eastAsia="Calibri" w:cs="Times New Roman"/>
                <w:sz w:val="24"/>
                <w:szCs w:val="24"/>
                <w:lang w:val="ru-RU" w:eastAsia="ru-RU"/>
              </w:rPr>
              <w:t xml:space="preserve">Код ПК, ОК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08"/>
              <w:jc w:val="center"/>
              <w:spacing w:before="0" w:after="0"/>
              <w:rPr>
                <w:rStyle w:val="801"/>
                <w:rFonts w:ascii="Times New Roman" w:hAnsi="Times New Roman" w:eastAsia="Calibri" w:cs="Times New Roman"/>
                <w:sz w:val="24"/>
                <w:szCs w:val="24"/>
                <w:lang w:val="ru-RU" w:eastAsia="ru-RU"/>
              </w:rPr>
            </w:pPr>
            <w:r>
              <w:rPr>
                <w:rStyle w:val="801"/>
                <w:rFonts w:ascii="Times New Roman" w:hAnsi="Times New Roman" w:eastAsia="Calibri" w:cs="Times New Roman"/>
                <w:sz w:val="24"/>
                <w:szCs w:val="24"/>
                <w:lang w:val="ru-RU" w:eastAsia="ru-RU"/>
              </w:rPr>
              <w:t xml:space="preserve">Наименование общих компетенций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pStyle w:val="708"/>
              <w:jc w:val="center"/>
              <w:spacing w:before="0" w:after="0"/>
              <w:rPr>
                <w:rStyle w:val="801"/>
                <w:rFonts w:ascii="Times New Roman" w:hAnsi="Times New Roman" w:eastAsia="Calibri" w:cs="Times New Roman"/>
                <w:sz w:val="24"/>
                <w:szCs w:val="24"/>
                <w:lang w:val="ru-RU" w:eastAsia="ru-RU"/>
              </w:rPr>
            </w:pPr>
            <w:r>
              <w:rPr>
                <w:rStyle w:val="801"/>
                <w:rFonts w:ascii="Times New Roman" w:hAnsi="Times New Roman" w:eastAsia="Calibri" w:cs="Times New Roman"/>
                <w:sz w:val="24"/>
                <w:szCs w:val="24"/>
                <w:lang w:val="ru-RU" w:eastAsia="ru-RU"/>
              </w:rPr>
              <w:t xml:space="preserve">Умения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708"/>
              <w:jc w:val="center"/>
              <w:spacing w:before="0" w:after="0"/>
            </w:pPr>
            <w:r>
              <w:rPr>
                <w:rStyle w:val="801"/>
                <w:rFonts w:ascii="Times New Roman" w:hAnsi="Times New Roman" w:eastAsia="Calibri" w:cs="Times New Roman"/>
                <w:sz w:val="24"/>
                <w:szCs w:val="24"/>
                <w:lang w:val="ru-RU" w:eastAsia="ru-RU"/>
              </w:rPr>
              <w:t xml:space="preserve">Знания</w:t>
            </w:r>
            <w:r/>
          </w:p>
        </w:tc>
      </w:tr>
      <w:tr>
        <w:trPr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Style w:val="801"/>
                <w:rFonts w:eastAsia="Calibri"/>
                <w:i w:val="0"/>
                <w:iCs w:val="0"/>
              </w:rPr>
            </w:pPr>
            <w:r>
              <w:rPr>
                <w:rStyle w:val="801"/>
                <w:rFonts w:eastAsia="Calibri"/>
                <w:i w:val="0"/>
              </w:rPr>
              <w:t xml:space="preserve">ОК 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Ра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спознавать задачу и/или проблему в профессиональном и/или социальном контексте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нализировать задачу и/или проблему и выделять ее составные части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пределять этапы решения задачи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С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оставлять план действия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необходимые ресурсы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Владеть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актуальными методами работы в профессиональной и смежных сферах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Реализовывать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составленный план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/>
          </w:p>
          <w:p>
            <w:pPr>
              <w:pStyle w:val="708"/>
              <w:jc w:val="both"/>
              <w:spacing w:before="0" w:after="0"/>
              <w:rPr>
                <w:rStyle w:val="801"/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Оценивать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результат и последствия своих действий (самостоятельно или с помощью наставника)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eastAsia="Calibri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Актуальный профессиональный и социальный контекст, в котором приходится работать и жить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-основные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/>
          </w:p>
          <w:p>
            <w:pPr>
              <w:pStyle w:val="708"/>
              <w:jc w:val="both"/>
              <w:spacing w:before="0" w:after="0"/>
              <w:rPr>
                <w:rFonts w:eastAsia="Calibri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Алгоритмы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выполнения работ в профессиональной и смежных областях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/>
          </w:p>
          <w:p>
            <w:pPr>
              <w:pStyle w:val="708"/>
              <w:jc w:val="both"/>
              <w:spacing w:before="0" w:after="0"/>
              <w:rPr>
                <w:rFonts w:eastAsia="Calibri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Методы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работы в профессиональной и смежных сферах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/>
          </w:p>
          <w:p>
            <w:pPr>
              <w:pStyle w:val="708"/>
              <w:jc w:val="both"/>
              <w:spacing w:before="0" w:after="0"/>
              <w:rPr>
                <w:rFonts w:eastAsia="Calibri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Структуру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плана для решения задач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/>
          </w:p>
          <w:p>
            <w:pPr>
              <w:pStyle w:val="708"/>
              <w:jc w:val="both"/>
              <w:spacing w:before="0" w:after="0"/>
              <w:rPr>
                <w:rFonts w:eastAsia="Calibri"/>
                <w:lang w:val="ru-RU" w:eastAsia="en-US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Порядок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оценки результатов решения задач профессиональной деятельности.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Style w:val="801"/>
                <w:rFonts w:eastAsia="Calibri"/>
                <w:i w:val="0"/>
                <w:iCs w:val="0"/>
              </w:rPr>
            </w:pPr>
            <w:r>
              <w:rPr>
                <w:rStyle w:val="801"/>
                <w:rFonts w:eastAsia="Calibri"/>
                <w:i w:val="0"/>
              </w:rPr>
              <w:t xml:space="preserve">ОК 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современные средства поиска, анализа, интерпретации информации и информационные технологии для выполнения задач профессиональной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деятельности профессиональной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  <w:r/>
          </w:p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</w:t>
            </w:r>
            <w:r>
              <w:rPr>
                <w:bCs/>
                <w:lang w:eastAsia="ru-RU"/>
              </w:rPr>
              <w:t xml:space="preserve">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  <w:r/>
          </w:p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Планировать про</w:t>
            </w:r>
            <w:r>
              <w:rPr>
                <w:bCs/>
                <w:lang w:eastAsia="ru-RU"/>
              </w:rPr>
              <w:t xml:space="preserve">цесс поиска</w:t>
            </w:r>
            <w:r>
              <w:rPr>
                <w:bCs/>
                <w:lang w:eastAsia="ru-RU"/>
              </w:rPr>
              <w:t xml:space="preserve">. </w:t>
            </w:r>
            <w:r/>
          </w:p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Структурировать </w:t>
            </w:r>
            <w:r>
              <w:rPr>
                <w:bCs/>
                <w:lang w:eastAsia="ru-RU"/>
              </w:rPr>
              <w:t xml:space="preserve">получаемую информацию</w:t>
            </w:r>
            <w:r>
              <w:rPr>
                <w:bCs/>
                <w:lang w:eastAsia="ru-RU"/>
              </w:rPr>
              <w:t xml:space="preserve">. </w:t>
            </w:r>
            <w:r/>
          </w:p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  <w:r/>
          </w:p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  <w:r/>
          </w:p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Оформлять результаты поиска</w:t>
            </w:r>
            <w:r>
              <w:rPr>
                <w:bCs/>
                <w:lang w:eastAsia="ru-RU"/>
              </w:rPr>
              <w:t xml:space="preserve">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Н</w:t>
            </w:r>
            <w:r>
              <w:rPr>
                <w:bCs/>
                <w:lang w:eastAsia="ru-RU"/>
              </w:rPr>
              <w:t xml:space="preserve"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  <w:r/>
          </w:p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</w:t>
            </w:r>
            <w:r>
              <w:rPr>
                <w:bCs/>
                <w:lang w:eastAsia="ru-RU"/>
              </w:rPr>
              <w:t xml:space="preserve">риемы структурирования информации</w:t>
            </w:r>
            <w:r>
              <w:rPr>
                <w:bCs/>
                <w:lang w:eastAsia="ru-RU"/>
              </w:rPr>
              <w:t xml:space="preserve">.</w:t>
            </w:r>
            <w:r>
              <w:rPr>
                <w:bCs/>
                <w:lang w:eastAsia="ru-RU"/>
              </w:rPr>
              <w:t xml:space="preserve"> </w:t>
            </w:r>
            <w:r/>
          </w:p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Формат оформления результатов поиска информации</w:t>
            </w:r>
            <w:r>
              <w:rPr>
                <w:bCs/>
                <w:lang w:eastAsia="ru-RU"/>
              </w:rPr>
              <w:t xml:space="preserve">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Style w:val="801"/>
                <w:rFonts w:eastAsia="Calibri"/>
                <w:i w:val="0"/>
                <w:iCs w:val="0"/>
              </w:rPr>
            </w:pPr>
            <w:r>
              <w:rPr>
                <w:rStyle w:val="801"/>
                <w:rFonts w:eastAsia="Calibri"/>
                <w:i w:val="0"/>
              </w:rPr>
              <w:t xml:space="preserve">ОК 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Эффективно взаимодействовать и работать в коллективе и команде.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  <w:r/>
          </w:p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Взаимодействовать с кол</w:t>
            </w:r>
            <w:r>
              <w:rPr>
                <w:bCs/>
                <w:lang w:eastAsia="ru-RU"/>
              </w:rPr>
              <w:t xml:space="preserve">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 xml:space="preserve">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 xml:space="preserve">.</w:t>
            </w:r>
            <w:r>
              <w:rPr>
                <w:bCs/>
                <w:lang w:eastAsia="ru-RU"/>
              </w:rPr>
              <w:t xml:space="preserve"> </w:t>
            </w:r>
            <w:r/>
          </w:p>
          <w:p>
            <w:pPr>
              <w:jc w:val="both"/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Основы проектной деятельности</w:t>
            </w:r>
            <w:r>
              <w:rPr>
                <w:bCs/>
                <w:lang w:eastAsia="ru-RU"/>
              </w:rPr>
              <w:t xml:space="preserve">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Style w:val="801"/>
                <w:rFonts w:eastAsia="Calibri"/>
                <w:i w:val="0"/>
                <w:iCs w:val="0"/>
              </w:rPr>
            </w:pPr>
            <w:r>
              <w:rPr>
                <w:rStyle w:val="801"/>
                <w:rFonts w:eastAsia="Calibri"/>
                <w:i w:val="0"/>
              </w:rPr>
              <w:t xml:space="preserve">ОК 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Грамотно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rPr>
                <w:rStyle w:val="801"/>
                <w:rFonts w:eastAsia="Calibri"/>
                <w:i w:val="0"/>
                <w:iCs w:val="0"/>
              </w:rPr>
            </w:pPr>
            <w:r>
              <w:rPr>
                <w:rStyle w:val="801"/>
                <w:rFonts w:eastAsia="Calibri"/>
                <w:i w:val="0"/>
              </w:rPr>
              <w:t xml:space="preserve">ОК 9.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Пользоваться профессиональной документацией на государственном и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иностранном  языках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Применять средства информационных технологий для решения професс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иональных задач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современное программное обеспечение.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Участвовать в диалогах на знако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мые общие и профессиональные темы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Строить простые высказывания о себе и о своей профессиональной деятельности.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Кратко обосновывать и объяснять свои действия (текущие и планируемые).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Писать простые связные сообщения на знакомые или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интересующие проф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ессиональные темы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Современные средства и устройства информатизации.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Порядок их применения и программное обеспечение в профессиональной деятельности.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Правила построения простых и сложных предложений на профессиональные темы.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Основные общеупотребит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ельные глаголы (бытовая и профессиональная лексика)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Особенности произношения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  <w:r/>
          </w:p>
          <w:p>
            <w:pPr>
              <w:pStyle w:val="708"/>
              <w:jc w:val="both"/>
              <w:spacing w:before="0" w:after="0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spacing w:before="120" w:after="120"/>
            </w:pPr>
            <w:r>
              <w:t xml:space="preserve">ПК 3.4.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Проводить сравнительный анализ программных продуктов.</w:t>
            </w:r>
            <w:r>
              <w:rPr>
                <w:color w:val="000000"/>
              </w:rPr>
              <w:t xml:space="preserve"> </w:t>
            </w:r>
            <w:r/>
          </w:p>
          <w:p>
            <w:pPr>
              <w:jc w:val="both"/>
            </w:pPr>
            <w:r>
              <w:rPr>
                <w:color w:val="000000"/>
              </w:rPr>
              <w:t xml:space="preserve">Проводить сравнительный анализ средств разработки программных продуктов.</w:t>
            </w:r>
            <w:r/>
          </w:p>
          <w:p>
            <w:pPr>
              <w:jc w:val="both"/>
              <w:widowControl w:val="off"/>
              <w:rPr>
                <w:iCs/>
              </w:rPr>
            </w:pPr>
            <w:r>
              <w:t xml:space="preserve">Разграничивать подходы к менеджменту программных проектов.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</w:pPr>
            <w:r>
              <w:rPr>
                <w:color w:val="000000"/>
              </w:rPr>
              <w:t xml:space="preserve">Основные методы сравнительного анализа программных продуктов и средств разработки.</w:t>
            </w:r>
            <w:r/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Основные подходы к менеджменту программных продуктов.</w:t>
            </w:r>
            <w:r/>
          </w:p>
          <w:p>
            <w:pPr>
              <w:jc w:val="both"/>
              <w:widowControl w:val="off"/>
              <w:rPr>
                <w:iCs/>
              </w:rPr>
            </w:pPr>
            <w:r>
              <w:t xml:space="preserve">Основные методы оценки бюджета, сроков и рисков разработки программ.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7" w:type="dxa"/>
            <w:textDirection w:val="lrTb"/>
            <w:noWrap w:val="false"/>
          </w:tcPr>
          <w:p>
            <w:pPr>
              <w:spacing w:before="120" w:after="120"/>
            </w:pPr>
            <w:r>
              <w:t xml:space="preserve">ПК 5.1.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9" w:type="dxa"/>
            <w:textDirection w:val="lrTb"/>
            <w:noWrap w:val="false"/>
          </w:tcPr>
          <w:p>
            <w:pPr>
              <w:jc w:val="both"/>
            </w:pPr>
            <w:r>
              <w:rPr>
                <w:color w:val="000000"/>
              </w:rPr>
              <w:t xml:space="preserve">Осуществлять постановку задачи по обработке информации.</w:t>
            </w:r>
            <w:r/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Выполнять анализ предметной области.</w:t>
            </w:r>
            <w:r/>
          </w:p>
          <w:p>
            <w:pPr>
              <w:jc w:val="both"/>
            </w:pPr>
            <w:r>
              <w:rPr>
                <w:color w:val="000000"/>
              </w:rPr>
              <w:t xml:space="preserve">Использовать алгоритмы обработки информации для различных приложений.</w:t>
            </w:r>
            <w:r/>
          </w:p>
          <w:p>
            <w:pPr>
              <w:jc w:val="both"/>
              <w:widowControl w:val="off"/>
              <w:rPr>
                <w:iCs/>
              </w:rPr>
            </w:pPr>
            <w:r>
              <w:rPr>
                <w:color w:val="000000"/>
              </w:rPr>
              <w:t xml:space="preserve">Работать с инструментальными средствами обработки информации.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</w:pPr>
            <w:r>
              <w:rPr>
                <w:color w:val="000000"/>
              </w:rPr>
              <w:t xml:space="preserve">Основные виды и процедуры обработки информации, модели и методы решения задач обработки информации.</w:t>
            </w:r>
            <w:r/>
          </w:p>
          <w:p>
            <w:pPr>
              <w:jc w:val="both"/>
            </w:pPr>
            <w:r>
              <w:rPr>
                <w:color w:val="000000"/>
              </w:rPr>
              <w:t xml:space="preserve">Основные платформы для создания, исполнения и управления информационной системой.</w:t>
            </w:r>
            <w:r/>
          </w:p>
          <w:p>
            <w:pPr>
              <w:jc w:val="both"/>
            </w:pPr>
            <w:r>
              <w:rPr>
                <w:color w:val="000000"/>
              </w:rPr>
              <w:t xml:space="preserve">Основные модели построения информационных систем, их структуру, особенности и области применения.</w:t>
            </w:r>
            <w:r/>
          </w:p>
          <w:p>
            <w:pPr>
              <w:jc w:val="both"/>
              <w:widowControl w:val="off"/>
              <w:tabs>
                <w:tab w:val="left" w:pos="1139" w:leader="none"/>
              </w:tabs>
              <w:rPr>
                <w:iCs/>
              </w:rPr>
            </w:pPr>
            <w:r>
              <w:rPr>
                <w:color w:val="000000"/>
              </w:rPr>
              <w:t xml:space="preserve">Платформы для создания, исполнения и управления информационной системой.</w:t>
            </w:r>
            <w:bookmarkEnd w:id="1"/>
            <w:r/>
          </w:p>
        </w:tc>
      </w:tr>
    </w:tbl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tbl>
      <w:tblPr>
        <w:tblW w:w="955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84"/>
        <w:gridCol w:w="4253"/>
        <w:gridCol w:w="3918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Align w:val="center"/>
            <w:textDirection w:val="lrTb"/>
            <w:noWrap w:val="false"/>
          </w:tcPr>
          <w:p>
            <w:pPr>
              <w:pStyle w:val="708"/>
              <w:jc w:val="center"/>
              <w:spacing w:before="0" w:after="0"/>
              <w:rPr>
                <w:rStyle w:val="801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801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Код ПК, ОК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pStyle w:val="708"/>
              <w:jc w:val="center"/>
              <w:spacing w:before="0" w:after="0"/>
              <w:rPr>
                <w:rStyle w:val="801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801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Умения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8" w:type="dxa"/>
            <w:vAlign w:val="center"/>
            <w:textDirection w:val="lrTb"/>
            <w:noWrap w:val="false"/>
          </w:tcPr>
          <w:p>
            <w:pPr>
              <w:pStyle w:val="708"/>
              <w:jc w:val="center"/>
              <w:spacing w:before="0" w:after="0"/>
            </w:pPr>
            <w:r>
              <w:rPr>
                <w:rStyle w:val="801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Знания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textDirection w:val="lrTb"/>
            <w:noWrap w:val="false"/>
          </w:tcPr>
          <w:p>
            <w:r>
              <w:rPr>
                <w:bCs/>
              </w:rPr>
              <w:t xml:space="preserve">ОК 1, 2, 4, 5, 9</w:t>
            </w:r>
            <w:r/>
          </w:p>
          <w:p>
            <w:pPr>
              <w:rPr>
                <w:bCs/>
              </w:rPr>
            </w:pPr>
            <w:r>
              <w:rPr>
                <w:bCs/>
              </w:rPr>
              <w:t xml:space="preserve">ПК 3.4, </w:t>
            </w:r>
            <w:r/>
          </w:p>
          <w:p>
            <w:pPr>
              <w:rPr>
                <w:bCs/>
              </w:rPr>
            </w:pPr>
            <w:r>
              <w:rPr>
                <w:bCs/>
              </w:rPr>
              <w:t xml:space="preserve">ПК 5.1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ind w:left="28"/>
              <w:jc w:val="both"/>
            </w:pPr>
            <w:r>
              <w:t xml:space="preserve">использовать основные численные методы решения математических задач;</w:t>
            </w:r>
            <w:r/>
          </w:p>
          <w:p>
            <w:pPr>
              <w:ind w:left="28"/>
              <w:jc w:val="both"/>
            </w:pPr>
            <w:r>
              <w:t xml:space="preserve">выбирать оптимальный численный метод для решения поставленной задачи;</w:t>
            </w:r>
            <w:r/>
          </w:p>
          <w:p>
            <w:pPr>
              <w:ind w:left="28"/>
              <w:jc w:val="both"/>
            </w:pPr>
            <w:r>
              <w:t xml:space="preserve">давать математические характеристики точности исходной информации и оценивать точность полученного численного решения;</w:t>
            </w:r>
            <w:r/>
          </w:p>
          <w:p>
            <w:pPr>
              <w:ind w:left="28"/>
              <w:rPr>
                <w:bCs/>
              </w:rPr>
            </w:pPr>
            <w:r>
              <w:t xml:space="preserve">разрабатывать алгоритмы и программы для решения вычислительных задач, учитывая необходимую точность получаемого результата.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8" w:type="dxa"/>
            <w:vAlign w:val="center"/>
            <w:textDirection w:val="lrTb"/>
            <w:noWrap w:val="false"/>
          </w:tcPr>
          <w:p>
            <w:pPr>
              <w:ind w:left="28"/>
            </w:pPr>
            <w:r>
              <w:t xml:space="preserve">методы хранения чисел в памяти электронно-вычислительной машины (далее – ЭВМ) и действия над ними, оценку точности вычислений;</w:t>
            </w:r>
            <w:r/>
          </w:p>
          <w:p>
            <w:pPr>
              <w:pStyle w:val="708"/>
              <w:ind w:left="28"/>
              <w:spacing w:before="0" w:after="0"/>
              <w:rPr>
                <w:b w:val="0"/>
                <w:b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 xml:space="preserve"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  <w:r/>
          </w:p>
        </w:tc>
      </w:tr>
    </w:tbl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tbl>
      <w:tblPr>
        <w:tblW w:w="9564" w:type="dxa"/>
        <w:jc w:val="right"/>
        <w:tblLayout w:type="fixed"/>
        <w:tblLook w:val="04A0" w:firstRow="1" w:lastRow="0" w:firstColumn="1" w:lastColumn="0" w:noHBand="0" w:noVBand="1"/>
      </w:tblPr>
      <w:tblGrid>
        <w:gridCol w:w="6905"/>
        <w:gridCol w:w="2659"/>
      </w:tblGrid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05" w:type="dxa"/>
            <w:textDirection w:val="lrTb"/>
            <w:noWrap w:val="false"/>
          </w:tcPr>
          <w:p>
            <w:pPr>
              <w:ind w:firstLine="34"/>
              <w:jc w:val="center"/>
            </w:pPr>
            <w:r>
              <w:rPr>
                <w:b/>
                <w:bCs/>
              </w:rPr>
              <w:t xml:space="preserve">Личностные результаты </w:t>
            </w:r>
            <w:r/>
          </w:p>
          <w:p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  <w:r/>
          </w:p>
          <w:p>
            <w:pPr>
              <w:ind w:firstLine="34"/>
              <w:jc w:val="center"/>
              <w:widowControl w:val="off"/>
              <w:rPr>
                <w:b/>
                <w:bCs/>
              </w:rPr>
            </w:pPr>
            <w:r>
              <w:rPr>
                <w:i/>
                <w:iCs/>
              </w:rPr>
              <w:t xml:space="preserve">(дескрипторы)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ind w:firstLine="34"/>
              <w:jc w:val="center"/>
              <w:widowControl w:val="off"/>
            </w:pPr>
            <w:r>
              <w:rPr>
                <w:b/>
                <w:bCs/>
              </w:rPr>
              <w:t xml:space="preserve">Код личностных результатов реализации программы воспитания</w:t>
            </w:r>
            <w:r/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05" w:type="dxa"/>
            <w:textDirection w:val="lrTb"/>
            <w:noWrap w:val="false"/>
          </w:tcPr>
          <w:p>
            <w:pPr>
              <w:jc w:val="both"/>
            </w:pPr>
            <w:r>
              <w:rPr>
                <w:bCs/>
              </w:rPr>
              <w:t xml:space="preserve"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ind w:firstLine="33"/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ЛР 15</w:t>
            </w:r>
            <w:r/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05" w:type="dxa"/>
            <w:textDirection w:val="lrTb"/>
            <w:noWrap w:val="false"/>
          </w:tcPr>
          <w:p>
            <w:pPr>
              <w:ind w:firstLine="33"/>
              <w:jc w:val="both"/>
              <w:spacing w:line="276" w:lineRule="auto"/>
            </w:pPr>
            <w:r>
              <w:t xml:space="preserve">Готовый соответствовать ожиданиям работодателей: </w:t>
            </w:r>
            <w:r>
              <w:t xml:space="preserve">проектно</w:t>
            </w:r>
            <w:r>
              <w:t xml:space="preserve"> мыслящий, эффективно взаимодействующий с членами команды и сотрудничающий с другими людьми, осознанно выполняющий п</w:t>
            </w:r>
            <w:r>
              <w:t xml:space="preserve">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ind w:firstLine="33"/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ЛР 19</w:t>
            </w:r>
            <w:r/>
          </w:p>
        </w:tc>
      </w:tr>
      <w:tr>
        <w:trPr>
          <w:jc w:val="righ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05" w:type="dxa"/>
            <w:textDirection w:val="lrTb"/>
            <w:noWrap w:val="false"/>
          </w:tcPr>
          <w:p>
            <w:pPr>
              <w:ind w:firstLine="33"/>
              <w:spacing w:line="276" w:lineRule="auto"/>
            </w:pPr>
            <w:r>
              <w:rPr>
                <w:bCs/>
              </w:rPr>
              <w:t xml:space="preserve">Применение навыков креативного мышления и воображения при решении нестандартных задач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ind w:firstLine="33"/>
              <w:jc w:val="center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ЛР 22</w:t>
            </w:r>
            <w:r/>
          </w:p>
        </w:tc>
      </w:tr>
    </w:tbl>
    <w:p>
      <w:pPr>
        <w:ind w:firstLine="709"/>
        <w:jc w:val="both"/>
        <w:widowControl w:val="off"/>
      </w:pPr>
      <w:r/>
      <w:r/>
    </w:p>
    <w:p>
      <w:pPr>
        <w:pStyle w:val="707"/>
        <w:ind w:firstLine="0"/>
        <w:jc w:val="both"/>
        <w:keepNext w:val="0"/>
        <w:widowControl w:val="off"/>
        <w:tabs>
          <w:tab w:val="left" w:pos="1042" w:leader="none"/>
        </w:tabs>
        <w:rPr>
          <w:b/>
        </w:rPr>
      </w:pPr>
      <w:r>
        <w:rPr>
          <w:b/>
        </w:rPr>
      </w:r>
      <w:r/>
    </w:p>
    <w:p>
      <w:pPr>
        <w:pStyle w:val="707"/>
        <w:ind w:firstLine="709"/>
        <w:jc w:val="both"/>
        <w:keepNext w:val="0"/>
        <w:widowControl w:val="off"/>
        <w:tabs>
          <w:tab w:val="left" w:pos="1042" w:leader="none"/>
        </w:tabs>
        <w:rPr>
          <w:b/>
        </w:rPr>
      </w:pPr>
      <w:r>
        <w:rPr>
          <w:b/>
        </w:rPr>
        <w:t xml:space="preserve">1.</w:t>
      </w:r>
      <w:r>
        <w:rPr>
          <w:b/>
        </w:rPr>
        <w:t xml:space="preserve">4.Реализация</w:t>
      </w:r>
      <w:r>
        <w:rPr>
          <w:b/>
          <w:spacing w:val="-7"/>
        </w:rPr>
        <w:t xml:space="preserve"> </w:t>
      </w:r>
      <w:r>
        <w:rPr>
          <w:b/>
        </w:rPr>
        <w:t xml:space="preserve">воспитательных</w:t>
      </w:r>
      <w:r>
        <w:rPr>
          <w:b/>
          <w:spacing w:val="-5"/>
        </w:rPr>
        <w:t xml:space="preserve"> </w:t>
      </w:r>
      <w:r>
        <w:rPr>
          <w:b/>
        </w:rPr>
        <w:t xml:space="preserve">аспектов</w:t>
      </w:r>
      <w:r>
        <w:rPr>
          <w:b/>
          <w:spacing w:val="-5"/>
        </w:rPr>
        <w:t xml:space="preserve"> </w:t>
      </w:r>
      <w:r>
        <w:rPr>
          <w:b/>
        </w:rPr>
        <w:t xml:space="preserve">в</w:t>
      </w:r>
      <w:r>
        <w:rPr>
          <w:b/>
          <w:spacing w:val="-5"/>
        </w:rPr>
        <w:t xml:space="preserve"> </w:t>
      </w:r>
      <w:r>
        <w:rPr>
          <w:b/>
        </w:rPr>
        <w:t xml:space="preserve">процессе</w:t>
      </w:r>
      <w:r>
        <w:rPr>
          <w:b/>
          <w:spacing w:val="-6"/>
        </w:rPr>
        <w:t xml:space="preserve"> </w:t>
      </w:r>
      <w:r>
        <w:rPr>
          <w:b/>
        </w:rPr>
        <w:t xml:space="preserve"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 xml:space="preserve">занятий</w:t>
      </w:r>
      <w:r/>
    </w:p>
    <w:p>
      <w:pPr>
        <w:pStyle w:val="812"/>
        <w:ind w:firstLine="709"/>
        <w:jc w:val="both"/>
        <w:spacing w:after="0"/>
        <w:tabs>
          <w:tab w:val="left" w:pos="10206" w:leader="none"/>
        </w:tabs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 xml:space="preserve">включающих:</w:t>
      </w:r>
      <w:r/>
    </w:p>
    <w:p>
      <w:pPr>
        <w:pStyle w:val="830"/>
        <w:numPr>
          <w:ilvl w:val="0"/>
          <w:numId w:val="5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clear" w:pos="0" w:leader="none"/>
        </w:tabs>
        <w:rPr>
          <w:rFonts w:ascii="Times New Roman" w:hAnsi="Times New Roman"/>
          <w:sz w:val="24"/>
          <w:szCs w:val="24"/>
        </w:rPr>
        <w:suppressLineNumbers w:val="0"/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t xml:space="preserve">демонстрацию интереса к будущей профессии;</w:t>
      </w:r>
      <w:r/>
    </w:p>
    <w:p>
      <w:pPr>
        <w:pStyle w:val="830"/>
        <w:numPr>
          <w:ilvl w:val="0"/>
          <w:numId w:val="9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  <w:r/>
    </w:p>
    <w:p>
      <w:pPr>
        <w:pStyle w:val="830"/>
        <w:numPr>
          <w:ilvl w:val="0"/>
          <w:numId w:val="9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  <w:r/>
    </w:p>
    <w:p>
      <w:pPr>
        <w:pStyle w:val="830"/>
        <w:numPr>
          <w:ilvl w:val="0"/>
          <w:numId w:val="9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276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ответственность за результат учебной деятельности и подготовки к профессиональной деятельности;</w:t>
      </w:r>
      <w:r/>
    </w:p>
    <w:p>
      <w:pPr>
        <w:pStyle w:val="830"/>
        <w:numPr>
          <w:ilvl w:val="0"/>
          <w:numId w:val="4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  <w:r/>
    </w:p>
    <w:p>
      <w:pPr>
        <w:pStyle w:val="830"/>
        <w:numPr>
          <w:ilvl w:val="0"/>
          <w:numId w:val="4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  <w:r/>
    </w:p>
    <w:p>
      <w:pPr>
        <w:pStyle w:val="830"/>
        <w:numPr>
          <w:ilvl w:val="0"/>
          <w:numId w:val="4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  <w:r/>
    </w:p>
    <w:p>
      <w:pPr>
        <w:pStyle w:val="830"/>
        <w:numPr>
          <w:ilvl w:val="0"/>
          <w:numId w:val="10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  <w:r/>
    </w:p>
    <w:p>
      <w:pPr>
        <w:pStyle w:val="830"/>
        <w:numPr>
          <w:ilvl w:val="0"/>
          <w:numId w:val="6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  <w:r/>
    </w:p>
    <w:p>
      <w:pPr>
        <w:pStyle w:val="830"/>
        <w:numPr>
          <w:ilvl w:val="0"/>
          <w:numId w:val="12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  <w:r/>
    </w:p>
    <w:p>
      <w:pPr>
        <w:pStyle w:val="830"/>
        <w:numPr>
          <w:ilvl w:val="0"/>
          <w:numId w:val="12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851" w:leader="none"/>
          <w:tab w:val="left" w:pos="1134" w:leader="none"/>
        </w:tabs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  <w:r/>
    </w:p>
    <w:p>
      <w:pPr>
        <w:pStyle w:val="830"/>
        <w:numPr>
          <w:ilvl w:val="0"/>
          <w:numId w:val="12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  <w:r/>
    </w:p>
    <w:p>
      <w:pPr>
        <w:pStyle w:val="830"/>
        <w:numPr>
          <w:ilvl w:val="0"/>
          <w:numId w:val="12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на благо Отечества;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проявление правовой активности и навыков правомерного поведения, уважения к Закону;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отсутствие фактов проявления идеологии терроризма и экстремизма среди обучающихся;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отсутствие социальных конфликтов среди обучающихся, основанных на межнациональной, межрелигиозной почве;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</w:t>
      </w:r>
      <w:r>
        <w:rPr>
          <w:rFonts w:ascii="Times New Roman" w:hAnsi="Times New Roman"/>
          <w:sz w:val="24"/>
          <w:szCs w:val="24"/>
        </w:rPr>
        <w:t xml:space="preserve">военно-исторических, краеведческих отрядах и молодежных объединениях; 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добровольческие инициативы по поддержки инвалидов и престарелых граждан;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экологической культуры, бережного отношения к родной земле, природным богатствам России и мира;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демонстрацию умений и навыков разумного природопользования, нетерпимого отношения к действиям, приносящим вред экологии;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демонстрацию навыков здорового образа жизни и высокий уровень культуры здоровья обучающихся;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формирование мотивации на получение профильного высшего образования по выбранной специальности;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1134" w:leader="none"/>
          <w:tab w:val="left" w:pos="10206" w:leader="none"/>
        </w:tabs>
      </w:pPr>
      <w:r>
        <w:rPr>
          <w:rFonts w:ascii="Times New Roman" w:hAnsi="Times New Roman"/>
          <w:sz w:val="24"/>
          <w:szCs w:val="24"/>
        </w:rPr>
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  <w:r/>
    </w:p>
    <w:p>
      <w:pPr>
        <w:pStyle w:val="830"/>
        <w:numPr>
          <w:ilvl w:val="0"/>
          <w:numId w:val="13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851" w:leader="none"/>
          <w:tab w:val="left" w:pos="1134" w:leader="none"/>
        </w:tabs>
      </w:pPr>
      <w:r>
        <w:rPr>
          <w:rFonts w:ascii="Times New Roman" w:hAnsi="Times New Roman"/>
          <w:sz w:val="24"/>
          <w:szCs w:val="24"/>
        </w:rPr>
        <w:t xml:space="preserve">развитие эстетического восприятия, способности воспринимать прекрасное в окружающей природе, в искусстве.</w:t>
      </w:r>
      <w:r/>
    </w:p>
    <w:p>
      <w:pPr>
        <w:pStyle w:val="812"/>
        <w:ind w:firstLine="709"/>
        <w:jc w:val="both"/>
        <w:spacing w:after="0"/>
      </w:pPr>
      <w:r>
        <w:t xml:space="preserve"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 xml:space="preserve">для обсуждения.</w:t>
      </w:r>
      <w:r/>
    </w:p>
    <w:p>
      <w:pPr>
        <w:pStyle w:val="812"/>
        <w:ind w:firstLine="709"/>
        <w:jc w:val="both"/>
        <w:spacing w:after="0"/>
      </w:pPr>
      <w:r/>
      <w:r/>
    </w:p>
    <w:p>
      <w:pPr>
        <w:pStyle w:val="812"/>
        <w:ind w:firstLine="709"/>
        <w:jc w:val="both"/>
        <w:spacing w:after="0"/>
      </w:pPr>
      <w:r>
        <w:rPr>
          <w:b/>
        </w:rPr>
        <w:t xml:space="preserve">1.</w:t>
      </w:r>
      <w:r>
        <w:rPr>
          <w:b/>
        </w:rPr>
        <w:t xml:space="preserve">5.Использование</w:t>
      </w:r>
      <w:r>
        <w:rPr>
          <w:b/>
          <w:spacing w:val="-10"/>
        </w:rPr>
        <w:t xml:space="preserve"> </w:t>
      </w:r>
      <w:r>
        <w:rPr>
          <w:b/>
        </w:rPr>
        <w:t xml:space="preserve">активных</w:t>
      </w:r>
      <w:r>
        <w:rPr>
          <w:b/>
          <w:spacing w:val="-7"/>
        </w:rPr>
        <w:t xml:space="preserve"> </w:t>
      </w:r>
      <w:r>
        <w:rPr>
          <w:b/>
        </w:rPr>
        <w:t xml:space="preserve">и</w:t>
      </w:r>
      <w:r>
        <w:rPr>
          <w:b/>
          <w:spacing w:val="-6"/>
        </w:rPr>
        <w:t xml:space="preserve"> </w:t>
      </w:r>
      <w:r>
        <w:rPr>
          <w:b/>
        </w:rPr>
        <w:t xml:space="preserve">интерактивных</w:t>
      </w:r>
      <w:r>
        <w:rPr>
          <w:b/>
          <w:spacing w:val="-7"/>
        </w:rPr>
        <w:t xml:space="preserve"> </w:t>
      </w:r>
      <w:r>
        <w:rPr>
          <w:b/>
        </w:rPr>
        <w:t xml:space="preserve">форм</w:t>
      </w:r>
      <w:r>
        <w:rPr>
          <w:b/>
          <w:spacing w:val="-7"/>
        </w:rPr>
        <w:t xml:space="preserve"> </w:t>
      </w:r>
      <w:r>
        <w:rPr>
          <w:b/>
        </w:rPr>
        <w:t xml:space="preserve"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 xml:space="preserve">занятий</w:t>
      </w:r>
      <w:r/>
    </w:p>
    <w:p>
      <w:pPr>
        <w:pStyle w:val="830"/>
        <w:ind w:left="0" w:firstLine="709"/>
        <w:jc w:val="both"/>
        <w:spacing w:after="0" w:line="240" w:lineRule="auto"/>
        <w:tabs>
          <w:tab w:val="left" w:pos="981" w:leader="none"/>
          <w:tab w:val="left" w:pos="982" w:leader="none"/>
        </w:tabs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 xml:space="preserve"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 xml:space="preserve">учебной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 xml:space="preserve"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интерактивные формы проведения занятий:</w:t>
      </w:r>
      <w:r/>
    </w:p>
    <w:p>
      <w:pPr>
        <w:pStyle w:val="830"/>
        <w:numPr>
          <w:ilvl w:val="0"/>
          <w:numId w:val="2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981" w:leader="none"/>
          <w:tab w:val="left" w:pos="98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стол;</w:t>
      </w:r>
      <w:r/>
    </w:p>
    <w:p>
      <w:pPr>
        <w:pStyle w:val="830"/>
        <w:numPr>
          <w:ilvl w:val="0"/>
          <w:numId w:val="2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981" w:leader="none"/>
          <w:tab w:val="left" w:pos="98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дискуссии;</w:t>
      </w:r>
      <w:r/>
    </w:p>
    <w:p>
      <w:pPr>
        <w:pStyle w:val="830"/>
        <w:numPr>
          <w:ilvl w:val="0"/>
          <w:numId w:val="2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981" w:leader="none"/>
          <w:tab w:val="left" w:pos="98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/>
    </w:p>
    <w:p>
      <w:pPr>
        <w:pStyle w:val="830"/>
        <w:numPr>
          <w:ilvl w:val="0"/>
          <w:numId w:val="2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981" w:leader="none"/>
          <w:tab w:val="left" w:pos="98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задач;</w:t>
      </w:r>
      <w:r/>
    </w:p>
    <w:p>
      <w:pPr>
        <w:pStyle w:val="812"/>
        <w:ind w:firstLine="709"/>
        <w:jc w:val="both"/>
        <w:spacing w:after="0"/>
        <w:rPr>
          <w:b/>
        </w:rPr>
      </w:pPr>
      <w:r>
        <w:rPr>
          <w:b/>
        </w:rPr>
      </w:r>
      <w:r/>
    </w:p>
    <w:p>
      <w:pPr>
        <w:pStyle w:val="707"/>
        <w:ind w:firstLine="709"/>
        <w:jc w:val="both"/>
        <w:keepNext w:val="0"/>
        <w:widowControl w:val="off"/>
        <w:tabs>
          <w:tab w:val="left" w:pos="1043" w:leader="none"/>
        </w:tabs>
        <w:rPr>
          <w:b/>
        </w:rPr>
      </w:pPr>
      <w:r>
        <w:rPr>
          <w:b/>
        </w:rPr>
        <w:t xml:space="preserve">1.</w:t>
      </w:r>
      <w:r>
        <w:rPr>
          <w:b/>
        </w:rPr>
        <w:t xml:space="preserve">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 xml:space="preserve">подготовка</w:t>
      </w:r>
      <w:r/>
    </w:p>
    <w:p>
      <w:pPr>
        <w:pStyle w:val="812"/>
        <w:ind w:firstLine="709"/>
        <w:jc w:val="both"/>
        <w:spacing w:after="0"/>
      </w:pPr>
      <w:r>
        <w:t xml:space="preserve">Практическая подготовка при реализации учебной дисциплины организуется следующим образом:</w:t>
      </w:r>
      <w:r/>
    </w:p>
    <w:p>
      <w:pPr>
        <w:pStyle w:val="830"/>
        <w:numPr>
          <w:ilvl w:val="0"/>
          <w:numId w:val="2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98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 xml:space="preserve">деятельностью.</w:t>
      </w:r>
      <w:r/>
    </w:p>
    <w:p>
      <w:pPr>
        <w:pStyle w:val="830"/>
        <w:numPr>
          <w:ilvl w:val="0"/>
          <w:numId w:val="2"/>
        </w:numPr>
        <w:contextualSpacing w:val="0"/>
        <w:ind w:left="0" w:firstLine="709"/>
        <w:jc w:val="both"/>
        <w:spacing w:after="0" w:line="240" w:lineRule="auto"/>
        <w:widowControl w:val="off"/>
        <w:tabs>
          <w:tab w:val="left" w:pos="982" w:leader="none"/>
        </w:tabs>
      </w:pPr>
      <w:r>
        <w:rPr>
          <w:rFonts w:ascii="Times New Roman" w:hAnsi="Times New Roman"/>
          <w:sz w:val="24"/>
          <w:szCs w:val="24"/>
        </w:rPr>
        <w:t xml:space="preserve"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  <w:r/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  <w:t xml:space="preserve">2. СТРУКТУРА И СОДЕРЖАНИЕ УЧЕБНОЙ ДИСЦИПЛИНЫ</w:t>
      </w:r>
      <w:r/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u w:val="single"/>
        </w:rPr>
      </w:pPr>
      <w:r>
        <w:rPr>
          <w:b/>
        </w:rPr>
        <w:t xml:space="preserve">2.1. Объем учебной дисциплины и виды учебной работы</w:t>
      </w:r>
      <w:r/>
    </w:p>
    <w:p>
      <w:pPr>
        <w:ind w:left="-180"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u w:val="single"/>
        </w:rPr>
      </w:pPr>
      <w:r>
        <w:rPr>
          <w:b/>
          <w:u w:val="single"/>
        </w:rPr>
      </w:r>
      <w:r/>
    </w:p>
    <w:tbl>
      <w:tblPr>
        <w:tblW w:w="9704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>
        <w:trPr>
          <w:trHeight w:val="4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04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 учебной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b/>
                <w:iCs/>
              </w:rPr>
              <w:t xml:space="preserve">Объем часов</w:t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04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Максимальная учебная нагрузка (всего)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64</w:t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04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48</w:t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04" w:type="dxa"/>
            <w:textDirection w:val="lrTb"/>
            <w:noWrap w:val="false"/>
          </w:tcPr>
          <w:p>
            <w:pPr>
              <w:jc w:val="both"/>
            </w:pPr>
            <w:r>
              <w:t xml:space="preserve">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04" w:type="dxa"/>
            <w:textDirection w:val="lrTb"/>
            <w:noWrap w:val="false"/>
          </w:tcPr>
          <w:p>
            <w:pPr>
              <w:jc w:val="both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30</w:t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04" w:type="dxa"/>
            <w:textDirection w:val="lrTb"/>
            <w:noWrap w:val="false"/>
          </w:tcPr>
          <w:p>
            <w:pPr>
              <w:jc w:val="both"/>
            </w:pPr>
            <w:r>
              <w:t xml:space="preserve">лабораторные работы (если предусмотрено)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04" w:type="dxa"/>
            <w:textDirection w:val="lrTb"/>
            <w:noWrap w:val="false"/>
          </w:tcPr>
          <w:p>
            <w:pPr>
              <w:jc w:val="both"/>
            </w:pPr>
            <w:r>
              <w:t xml:space="preserve">практические занятия (если предусмотрено)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18</w:t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04" w:type="dxa"/>
            <w:textDirection w:val="lrTb"/>
            <w:noWrap w:val="false"/>
          </w:tcPr>
          <w:p>
            <w:pPr>
              <w:jc w:val="both"/>
            </w:pPr>
            <w:r>
              <w:t xml:space="preserve">курсовая работа (проект) (если предусмотрено)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04" w:type="dxa"/>
            <w:textDirection w:val="lrTb"/>
            <w:noWrap w:val="false"/>
          </w:tcPr>
          <w:p>
            <w:pPr>
              <w:jc w:val="both"/>
            </w:pPr>
            <w:r>
              <w:t xml:space="preserve">контрольная работа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04" w:type="dxa"/>
            <w:textDirection w:val="lrTb"/>
            <w:noWrap w:val="false"/>
          </w:tcPr>
          <w:p>
            <w:pPr>
              <w:jc w:val="both"/>
            </w:pPr>
            <w:r>
              <w:t xml:space="preserve">Самостоятельная работа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00" w:type="dxa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16</w:t>
            </w:r>
            <w:r/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04" w:type="dxa"/>
            <w:textDirection w:val="lrTb"/>
            <w:noWrap w:val="false"/>
          </w:tcPr>
          <w:p>
            <w:pPr>
              <w:tabs>
                <w:tab w:val="left" w:pos="6336" w:leader="none"/>
              </w:tabs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в форме дифференцированного зачета</w:t>
            </w:r>
            <w:r/>
          </w:p>
          <w:p>
            <w:pPr>
              <w:jc w:val="right"/>
              <w:rPr>
                <w:b/>
                <w:iCs/>
              </w:rPr>
            </w:pPr>
            <w:r>
              <w:rPr>
                <w:b/>
                <w:iCs/>
              </w:rPr>
            </w:r>
            <w:r/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i/>
        </w:rPr>
        <w:t xml:space="preserve"> </w:t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i/>
        </w:rPr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i/>
        </w:rPr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i/>
        </w:rPr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i/>
        </w:rPr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</w:pPr>
      <w:r>
        <w:rPr>
          <w:i/>
        </w:rPr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</w:rPr>
        <w:sectPr>
          <w:footerReference w:type="default" r:id="rId10"/>
          <w:footnotePr/>
          <w:endnotePr/>
          <w:type w:val="nextPage"/>
          <w:pgSz w:w="11906" w:h="16838" w:orient="portrait"/>
          <w:pgMar w:top="1134" w:right="850" w:bottom="1134" w:left="1701" w:header="0" w:footer="708" w:gutter="0"/>
          <w:cols w:num="1" w:sep="0" w:space="720" w:equalWidth="1"/>
          <w:docGrid w:linePitch="360"/>
        </w:sectPr>
      </w:pPr>
      <w:r>
        <w:rPr>
          <w:i/>
        </w:rPr>
      </w:r>
      <w:r/>
    </w:p>
    <w:p>
      <w:pPr>
        <w:pStyle w:val="707"/>
        <w:ind w:left="284" w:right="-28"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5168" w:leader="none"/>
        </w:tabs>
        <w:rPr>
          <w:b/>
        </w:rPr>
      </w:pPr>
      <w:r>
        <w:rPr>
          <w:b/>
        </w:rPr>
        <w:t xml:space="preserve">2.2. Тематический план и содержание учебной дисциплины</w:t>
      </w:r>
      <w:r/>
    </w:p>
    <w:p>
      <w:pPr>
        <w:rPr>
          <w:b/>
        </w:rPr>
      </w:pPr>
      <w:r>
        <w:rPr>
          <w:b/>
        </w:rPr>
      </w:r>
      <w:r/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610"/>
        <w:gridCol w:w="7775"/>
        <w:gridCol w:w="1349"/>
        <w:gridCol w:w="2968"/>
      </w:tblGrid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</w:rPr>
              <w:t xml:space="preserve">Наименование разделов и тем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обучающихся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</w:rPr>
              <w:t xml:space="preserve">Объем часов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Коды компетенций, формированию которых способствует элемент программы</w:t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restart"/>
            <w:textDirection w:val="lrTb"/>
            <w:noWrap w:val="false"/>
          </w:tcPr>
          <w:p>
            <w:r>
              <w:rPr>
                <w:b/>
              </w:rPr>
              <w:t xml:space="preserve">Тема 1. </w:t>
            </w:r>
            <w:r>
              <w:rPr>
                <w:b/>
                <w:bCs/>
              </w:rPr>
              <w:t xml:space="preserve">Элементы теории погрешностей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restart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ОК 1, 2, 4, 5, 9, ПК 3.4, 5.1.</w:t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t xml:space="preserve">Источники и классификация погрешностей результата численного решения задачи.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В том числе практических занятий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jc w:val="center"/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restart"/>
            <w:textDirection w:val="lrTb"/>
            <w:noWrap w:val="false"/>
          </w:tcPr>
          <w:p>
            <w:r>
              <w:rPr>
                <w:b/>
              </w:rPr>
              <w:t xml:space="preserve">Тема 2. </w:t>
            </w:r>
            <w:r>
              <w:rPr>
                <w:b/>
                <w:bCs/>
              </w:rPr>
              <w:t xml:space="preserve">Приближённые решения алгебраических и трансцендентных уравнений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restart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ОК 1, 2, 4, 5, 9, ПК 3.4, 5.1.</w:t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Постановка задачи локализации корней. Численные методы решения уравнений.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В том числе практических занятий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Самостоятельная работа обучающихся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restart"/>
            <w:textDirection w:val="lrTb"/>
            <w:noWrap w:val="false"/>
          </w:tcPr>
          <w:p>
            <w:r>
              <w:rPr>
                <w:b/>
                <w:bCs/>
              </w:rPr>
              <w:t xml:space="preserve">Тема 3. Решение систем линейных алгебраических уравнений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restart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ОК 1, 2, 4, 5, 9, ПК 3.4, 5.1.</w:t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Метод Гаусса. Метод итераций решения СЛАУ. Метод Зейделя.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В том числе практических занятий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Самостоятельная работа обучающихся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restart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4.</w:t>
            </w:r>
            <w:r>
              <w:rPr>
                <w:b/>
              </w:rPr>
              <w:t xml:space="preserve"> Интерполирование и экстраполирование функций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restart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ОК 1, 2, 4, 5, 9, ПК 3.4, 5.1.</w:t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t xml:space="preserve">Интерполяционный многочлен Лагранжа. Интерполяционные формулы Ньютона.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jc w:val="both"/>
            </w:pPr>
            <w:r>
              <w:t xml:space="preserve">Интерполирование сплайнами.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В том числе практических занятий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restart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5. </w:t>
            </w:r>
            <w:r>
              <w:rPr>
                <w:b/>
              </w:rPr>
              <w:t xml:space="preserve">Численное интегрирование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restart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ОК 1, 2, 4, 5, 9, ПК 3.4, 5.1.</w:t>
            </w:r>
            <w:r/>
          </w:p>
        </w:tc>
      </w:tr>
      <w:tr>
        <w:trPr>
          <w:jc w:val="center"/>
          <w:trHeight w:val="1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t xml:space="preserve">Формулы Ньютона - </w:t>
            </w:r>
            <w:r>
              <w:t xml:space="preserve">Котеса</w:t>
            </w:r>
            <w:r>
              <w:t xml:space="preserve">: методы прямоугольников, трапеций, парабол.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1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r>
              <w:t xml:space="preserve">Интегрирование с помощью формул Гаусса.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В том числе практических занятий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/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restart"/>
            <w:textDirection w:val="lrTb"/>
            <w:noWrap w:val="false"/>
          </w:tcPr>
          <w:p>
            <w:r>
              <w:rPr>
                <w:b/>
                <w:bCs/>
              </w:rPr>
              <w:t xml:space="preserve">Тема 6. Численное решение обыкновенных дифференциальных уравнений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restart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ОК 1, 2, 4, 5, 9, ПК 3.4, 5.1.</w:t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t xml:space="preserve">Метод Эйлера. Уточнённая схема Эйлера.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3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r>
              <w:t xml:space="preserve">Метод Рунге – Кутта.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bCs/>
              </w:rPr>
              <w:t xml:space="preserve">В том числе практических занятий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0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75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 xml:space="preserve">(при наличии указывается тематика и содержание домашних заданий)</w:t>
            </w:r>
            <w:r/>
          </w:p>
          <w:p>
            <w:pPr>
              <w:rPr>
                <w:b/>
                <w:bCs/>
              </w:rPr>
            </w:pPr>
            <w:r>
              <w:t xml:space="preserve">Разработка алгоритмов и программ для решения дифференциальных уравнений численными методами.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5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Практические работы:</w:t>
            </w:r>
            <w:r/>
          </w:p>
          <w:p>
            <w:pPr>
              <w:numPr>
                <w:ilvl w:val="0"/>
                <w:numId w:val="3"/>
              </w:numPr>
            </w:pPr>
            <w:r>
              <w:t xml:space="preserve">Вычисление погрешностей результатов арифметических действий над приближёнными числами.</w:t>
            </w:r>
            <w:r/>
          </w:p>
          <w:p>
            <w:pPr>
              <w:numPr>
                <w:ilvl w:val="0"/>
                <w:numId w:val="3"/>
              </w:numPr>
            </w:pPr>
            <w:r>
              <w:t xml:space="preserve">Решение алгебраических и трансцендентных уравнений методом половинного деления и методом итераций.</w:t>
            </w:r>
            <w:r/>
          </w:p>
          <w:p>
            <w:pPr>
              <w:numPr>
                <w:ilvl w:val="0"/>
                <w:numId w:val="3"/>
              </w:numPr>
            </w:pPr>
            <w:r>
              <w:t xml:space="preserve">Решение алгебраических и трансцендентных уравнений методами хорд и касательных.</w:t>
            </w:r>
            <w:r/>
          </w:p>
          <w:p>
            <w:pPr>
              <w:numPr>
                <w:ilvl w:val="0"/>
                <w:numId w:val="3"/>
              </w:numPr>
            </w:pPr>
            <w:r>
              <w:t xml:space="preserve">Решение систем линейных уравнений приближёнными методами.</w:t>
            </w:r>
            <w:r/>
          </w:p>
          <w:p>
            <w:pPr>
              <w:numPr>
                <w:ilvl w:val="0"/>
                <w:numId w:val="3"/>
              </w:numPr>
            </w:pPr>
            <w:r>
              <w:t xml:space="preserve">Составление интерполяционных формул Лагранжа, Ньютона, нахождение интерполяционных многочленов сплайнами.</w:t>
            </w:r>
            <w:r/>
          </w:p>
          <w:p>
            <w:pPr>
              <w:numPr>
                <w:ilvl w:val="0"/>
                <w:numId w:val="3"/>
              </w:numPr>
            </w:pPr>
            <w:r>
              <w:t xml:space="preserve">Вычисление интегралов методами численного интегрирования.</w:t>
            </w:r>
            <w:r/>
          </w:p>
          <w:p>
            <w:pPr>
              <w:numPr>
                <w:ilvl w:val="0"/>
                <w:numId w:val="3"/>
              </w:numPr>
            </w:pPr>
            <w:r>
              <w:t xml:space="preserve">Применение численных методов для решения дифференциальных уравнений.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18</w:t>
            </w:r>
            <w:bookmarkStart w:id="2" w:name="_GoBack"/>
            <w:r/>
            <w:bookmarkEnd w:id="2"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Дифференцированный зачет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jc w:val="center"/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5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8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/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  <w:sectPr>
          <w:footerReference w:type="default" r:id="rId11"/>
          <w:footnotePr/>
          <w:endnotePr/>
          <w:type w:val="nextPage"/>
          <w:pgSz w:w="16838" w:h="11906" w:orient="landscape"/>
          <w:pgMar w:top="851" w:right="1134" w:bottom="851" w:left="992" w:header="0" w:footer="709" w:gutter="0"/>
          <w:cols w:num="1" w:sep="0" w:space="720" w:equalWidth="1"/>
          <w:docGrid w:linePitch="360"/>
        </w:sectPr>
      </w:pPr>
      <w:r>
        <w:rPr>
          <w:b/>
        </w:rPr>
      </w:r>
      <w:r/>
    </w:p>
    <w:p>
      <w:pPr>
        <w:pStyle w:val="707"/>
        <w:ind w:firstLine="709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</w:rPr>
      </w:pPr>
      <w:r>
        <w:rPr>
          <w:b/>
          <w:caps/>
        </w:rPr>
        <w:t xml:space="preserve">3. условия реализации программы дисциплины</w:t>
      </w:r>
      <w:r/>
    </w:p>
    <w:p>
      <w:pPr>
        <w:ind w:firstLine="709"/>
        <w:rPr>
          <w:b/>
          <w:caps/>
        </w:rPr>
      </w:pPr>
      <w:r>
        <w:rPr>
          <w:b/>
          <w:caps/>
        </w:rPr>
      </w:r>
      <w:r/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3.1. Для реализации программы учебной дисциплины должны быть предусмотрены следующие специальные помещения:</w:t>
      </w:r>
      <w:r/>
    </w:p>
    <w:p>
      <w:pPr>
        <w:ind w:firstLine="709"/>
        <w:jc w:val="both"/>
      </w:pPr>
      <w: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</w:t>
      </w:r>
      <w:r>
        <w:t xml:space="preserve">учения, в том числе наборами демонстрационного оборудования (мобильное мультимедийное оборудование), наглядными пособиями (стенды, плакаты, макеты геометрических тел). учебными наглядными пособиями в виде электронных материалов к дисциплине (презентации). </w:t>
      </w:r>
      <w:r/>
    </w:p>
    <w:p>
      <w:pPr>
        <w:ind w:firstLine="709"/>
        <w:jc w:val="both"/>
        <w:rPr>
          <w:i/>
          <w:color w:val="000000"/>
          <w:u w:val="single"/>
        </w:rPr>
      </w:pPr>
      <w:r>
        <w:rPr>
          <w:i/>
          <w:color w:val="000000"/>
          <w:u w:val="single"/>
        </w:rPr>
        <w:t xml:space="preserve">Наглядные пособия </w:t>
      </w:r>
      <w:r/>
    </w:p>
    <w:p>
      <w:pPr>
        <w:ind w:firstLine="709"/>
        <w:jc w:val="both"/>
      </w:pPr>
      <w:r>
        <w:rPr>
          <w:color w:val="000000"/>
          <w:u w:val="single"/>
        </w:rPr>
        <w:t xml:space="preserve">Стенды – 12 шт.</w:t>
      </w:r>
      <w:r>
        <w:rPr>
          <w:u w:val="single"/>
        </w:rPr>
        <w:t xml:space="preserve">:</w:t>
      </w:r>
      <w:r/>
    </w:p>
    <w:p>
      <w:pPr>
        <w:ind w:firstLine="709"/>
        <w:jc w:val="both"/>
        <w:shd w:val="clear" w:color="auto" w:fill="ffffff"/>
        <w:rPr>
          <w:color w:val="000000"/>
        </w:rPr>
      </w:pPr>
      <w:r>
        <w:t xml:space="preserve"> - Тригонометрические функции. Синус, косинус, тангенс и котангенс;</w:t>
      </w:r>
      <w:r/>
    </w:p>
    <w:p>
      <w:pPr>
        <w:ind w:firstLine="709"/>
        <w:jc w:val="both"/>
        <w:shd w:val="clear" w:color="auto" w:fill="ffffff"/>
      </w:pPr>
      <w:r>
        <w:t xml:space="preserve">-  Свойства логарифмов;</w:t>
      </w:r>
      <w:r/>
    </w:p>
    <w:p>
      <w:pPr>
        <w:ind w:firstLine="709"/>
        <w:shd w:val="clear" w:color="auto" w:fill="ffffff"/>
      </w:pPr>
      <w:r>
        <w:rPr>
          <w:color w:val="000000"/>
        </w:rPr>
        <w:t xml:space="preserve">- </w:t>
      </w:r>
      <w:r>
        <w:t xml:space="preserve"> Правила нахождения первообразных</w:t>
      </w:r>
      <w:r/>
    </w:p>
    <w:p>
      <w:pPr>
        <w:ind w:firstLine="709"/>
        <w:shd w:val="clear" w:color="auto" w:fill="ffffff"/>
      </w:pPr>
      <w:r>
        <w:t xml:space="preserve">-  Площадь криволинейной трапеции;</w:t>
      </w:r>
      <w:r/>
    </w:p>
    <w:p>
      <w:pPr>
        <w:ind w:firstLine="709"/>
        <w:shd w:val="clear" w:color="auto" w:fill="ffffff"/>
      </w:pPr>
      <w:r>
        <w:t xml:space="preserve">-  Интеграл. Формула Ньютона- Лейбница;</w:t>
      </w:r>
      <w:r/>
    </w:p>
    <w:p>
      <w:pPr>
        <w:ind w:firstLine="709"/>
        <w:shd w:val="clear" w:color="auto" w:fill="ffffff"/>
      </w:pPr>
      <w:r>
        <w:t xml:space="preserve">-  Приращение функции. Понятие о производной;</w:t>
      </w:r>
      <w:r/>
    </w:p>
    <w:p>
      <w:pPr>
        <w:ind w:firstLine="709"/>
        <w:shd w:val="clear" w:color="auto" w:fill="ffffff"/>
      </w:pPr>
      <w:r>
        <w:t xml:space="preserve">- Правила вычисления производных</w:t>
      </w:r>
      <w:r/>
    </w:p>
    <w:p>
      <w:pPr>
        <w:ind w:firstLine="709"/>
        <w:jc w:val="both"/>
        <w:shd w:val="clear" w:color="auto" w:fill="ffffff"/>
      </w:pPr>
      <w:r>
        <w:t xml:space="preserve">- Сложная функция</w:t>
      </w:r>
      <w:r/>
    </w:p>
    <w:p>
      <w:pPr>
        <w:ind w:firstLine="709"/>
        <w:jc w:val="both"/>
        <w:shd w:val="clear" w:color="auto" w:fill="ffffff"/>
      </w:pPr>
      <w:r>
        <w:t xml:space="preserve">-  Вычисление вероятностей</w:t>
      </w:r>
      <w:r/>
    </w:p>
    <w:p>
      <w:pPr>
        <w:ind w:firstLine="709"/>
        <w:jc w:val="both"/>
        <w:shd w:val="clear" w:color="auto" w:fill="ffffff"/>
      </w:pPr>
      <w:r>
        <w:t xml:space="preserve">-  Случайные события. Вероятность</w:t>
      </w:r>
      <w:r/>
    </w:p>
    <w:p>
      <w:pPr>
        <w:ind w:firstLine="709"/>
        <w:jc w:val="both"/>
        <w:shd w:val="clear" w:color="auto" w:fill="ffffff"/>
      </w:pPr>
      <w:r>
        <w:t xml:space="preserve">-  Тригонометрические функции. Синус, косинус, тангенс и котангенс</w:t>
      </w:r>
      <w:r/>
    </w:p>
    <w:p>
      <w:pPr>
        <w:ind w:firstLine="709"/>
        <w:jc w:val="both"/>
        <w:shd w:val="clear" w:color="auto" w:fill="ffffff"/>
      </w:pPr>
      <w:r>
        <w:t xml:space="preserve">-  Свойства логарифмов</w:t>
      </w:r>
      <w:r/>
    </w:p>
    <w:p>
      <w:pPr>
        <w:ind w:firstLine="709"/>
        <w:jc w:val="both"/>
        <w:shd w:val="clear" w:color="auto" w:fill="ffffff"/>
        <w:rPr>
          <w:color w:val="000000"/>
          <w:u w:val="single"/>
        </w:rPr>
      </w:pPr>
      <w:r>
        <w:rPr>
          <w:color w:val="000000"/>
          <w:u w:val="single"/>
        </w:rPr>
        <w:t xml:space="preserve">Плакаты (12шт.):</w:t>
      </w:r>
      <w:r/>
    </w:p>
    <w:p>
      <w:pPr>
        <w:ind w:firstLine="709"/>
        <w:jc w:val="both"/>
        <w:shd w:val="clear" w:color="auto" w:fill="ffffff"/>
      </w:pPr>
      <w:r>
        <w:rPr>
          <w:color w:val="000000"/>
        </w:rPr>
        <w:t xml:space="preserve">- </w:t>
      </w:r>
      <w:r>
        <w:t xml:space="preserve"> Тригонометрические формулы</w:t>
      </w:r>
      <w:r/>
    </w:p>
    <w:p>
      <w:pPr>
        <w:ind w:firstLine="709"/>
        <w:jc w:val="both"/>
        <w:shd w:val="clear" w:color="auto" w:fill="ffffff"/>
      </w:pPr>
      <w:r>
        <w:t xml:space="preserve">-  Многогранники (I)</w:t>
      </w:r>
      <w:r/>
    </w:p>
    <w:p>
      <w:pPr>
        <w:ind w:firstLine="709"/>
        <w:jc w:val="both"/>
        <w:shd w:val="clear" w:color="auto" w:fill="ffffff"/>
      </w:pPr>
      <w:r>
        <w:t xml:space="preserve">-  Многогранники (II)</w:t>
      </w:r>
      <w:r/>
    </w:p>
    <w:p>
      <w:pPr>
        <w:ind w:firstLine="709"/>
        <w:jc w:val="both"/>
        <w:shd w:val="clear" w:color="auto" w:fill="ffffff"/>
      </w:pPr>
      <w:r>
        <w:t xml:space="preserve">-  Тела вращения (I)</w:t>
      </w:r>
      <w:r/>
    </w:p>
    <w:p>
      <w:pPr>
        <w:ind w:firstLine="709"/>
        <w:jc w:val="both"/>
        <w:shd w:val="clear" w:color="auto" w:fill="ffffff"/>
      </w:pPr>
      <w:r>
        <w:t xml:space="preserve">-  Тела вращения (II)</w:t>
      </w:r>
      <w:r/>
    </w:p>
    <w:p>
      <w:pPr>
        <w:ind w:firstLine="709"/>
        <w:jc w:val="both"/>
        <w:shd w:val="clear" w:color="auto" w:fill="ffffff"/>
      </w:pPr>
      <w:r>
        <w:t xml:space="preserve">-  Квадратный трехчлен</w:t>
      </w:r>
      <w:r/>
    </w:p>
    <w:p>
      <w:pPr>
        <w:ind w:firstLine="709"/>
        <w:shd w:val="clear" w:color="auto" w:fill="ffffff"/>
      </w:pPr>
      <w:r>
        <w:t xml:space="preserve">-  Квадратное уравнение</w:t>
      </w:r>
      <w:r/>
    </w:p>
    <w:p>
      <w:pPr>
        <w:ind w:firstLine="709"/>
        <w:shd w:val="clear" w:color="auto" w:fill="ffffff"/>
      </w:pPr>
      <w:r>
        <w:t xml:space="preserve">-  Показательная функция</w:t>
      </w:r>
      <w:r/>
    </w:p>
    <w:p>
      <w:pPr>
        <w:ind w:firstLine="709"/>
        <w:shd w:val="clear" w:color="auto" w:fill="ffffff"/>
      </w:pPr>
      <w:r>
        <w:t xml:space="preserve">-  Логарифмическая функция</w:t>
      </w:r>
      <w:r/>
    </w:p>
    <w:p>
      <w:pPr>
        <w:ind w:firstLine="709"/>
        <w:shd w:val="clear" w:color="auto" w:fill="ffffff"/>
      </w:pPr>
      <w:r>
        <w:t xml:space="preserve">-  Тригонометрические функции</w:t>
      </w:r>
      <w:r/>
    </w:p>
    <w:p>
      <w:pPr>
        <w:ind w:firstLine="709"/>
        <w:shd w:val="clear" w:color="auto" w:fill="ffffff"/>
      </w:pPr>
      <w:r>
        <w:t xml:space="preserve">-  Обратные тригонометрические функции</w:t>
      </w:r>
      <w:r/>
    </w:p>
    <w:p>
      <w:pPr>
        <w:pStyle w:val="83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Тригонометрические формулы (I)</w:t>
      </w:r>
      <w:r/>
    </w:p>
    <w:p>
      <w:pPr>
        <w:pStyle w:val="832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/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3.2. Информационное обеспечение реализации программы</w:t>
      </w:r>
      <w:r/>
    </w:p>
    <w:p>
      <w:pPr>
        <w:ind w:firstLine="709"/>
        <w:jc w:val="both"/>
      </w:pPr>
      <w:r>
        <w:rPr>
          <w:bCs/>
        </w:rPr>
        <w:t xml:space="preserve"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  <w:r/>
    </w:p>
    <w:p>
      <w:pPr>
        <w:ind w:firstLine="709"/>
        <w:jc w:val="both"/>
      </w:pPr>
      <w:r/>
      <w:r/>
    </w:p>
    <w:p>
      <w:pPr>
        <w:ind w:firstLine="709"/>
        <w:jc w:val="both"/>
        <w:rPr>
          <w:b/>
        </w:rPr>
      </w:pPr>
      <w:r>
        <w:rPr>
          <w:b/>
        </w:rPr>
        <w:t xml:space="preserve">Основная литература</w:t>
      </w:r>
      <w:r/>
    </w:p>
    <w:p>
      <w:pPr>
        <w:ind w:firstLine="709"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 xml:space="preserve">Махмутов</w:t>
      </w:r>
      <w:r>
        <w:rPr>
          <w:shd w:val="clear" w:color="auto" w:fill="f8f9fa"/>
        </w:rPr>
        <w:t xml:space="preserve">, M. M. Лекции по численным методам / M. M. </w:t>
      </w:r>
      <w:r>
        <w:rPr>
          <w:shd w:val="clear" w:color="auto" w:fill="f8f9fa"/>
        </w:rPr>
        <w:t xml:space="preserve">Махмутов</w:t>
      </w:r>
      <w:r>
        <w:rPr>
          <w:shd w:val="clear" w:color="auto" w:fill="f8f9fa"/>
        </w:rPr>
        <w:t xml:space="preserve">. — Москва, Ижевск: Регулярная и хаотическая динамика, Институт компьютерных исследований, 2019. — 237 c. — ISBN 978-5-4344-0688-8. — Текст: электронный // Цифровой образовательный ресурс IPR SMART: [сайт]. — URL: </w:t>
      </w:r>
      <w:hyperlink r:id="rId13" w:tooltip="https://www.iprbookshop.ru/97368.html" w:history="1">
        <w:r>
          <w:rPr>
            <w:rStyle w:val="809"/>
            <w:shd w:val="clear" w:color="auto" w:fill="f8f9fa"/>
          </w:rPr>
          <w:t xml:space="preserve">https://www.iprbookshop.ru/97368.html</w:t>
        </w:r>
      </w:hyperlink>
      <w:r>
        <w:rPr>
          <w:shd w:val="clear" w:color="auto" w:fill="f8f9fa"/>
        </w:rPr>
        <w:t xml:space="preserve">   </w:t>
      </w:r>
      <w:r/>
    </w:p>
    <w:p>
      <w:pPr>
        <w:contextualSpacing/>
        <w:ind w:firstLine="709"/>
        <w:jc w:val="both"/>
      </w:pPr>
      <w:r>
        <w:rPr>
          <w:shd w:val="clear" w:color="auto" w:fill="fcfcfc"/>
        </w:rPr>
        <w:t xml:space="preserve">2. </w:t>
      </w:r>
      <w:r>
        <w:rPr>
          <w:shd w:val="clear" w:color="auto" w:fill="f8f9fa"/>
        </w:rPr>
        <w:t xml:space="preserve">Воронцова, Н. В. Численные методы в программировании: учебн</w:t>
      </w:r>
      <w:r>
        <w:rPr>
          <w:shd w:val="clear" w:color="auto" w:fill="f8f9fa"/>
        </w:rPr>
        <w:t xml:space="preserve">ое пособие для СПО / Н. В. Воронцова, Т. Н. Егорушкина, Д. И. Якушин. — Саратов: Профобразование, Ай Пи Эр Медиа, 2019. — 125 c. — ISBN 978-5-4486-0761-5, 978-5-4488-0278-2. — Текст: электронный // Цифровой образовательный ресурс IPR SMART: [сайт]. — URL: </w:t>
      </w:r>
      <w:hyperlink r:id="rId14" w:tooltip="https://www.iprbookshop.ru/86341.html" w:history="1">
        <w:r>
          <w:rPr>
            <w:rStyle w:val="809"/>
            <w:shd w:val="clear" w:color="auto" w:fill="f8f9fa"/>
          </w:rPr>
          <w:t xml:space="preserve">https://www.iprbookshop.ru/86341.html</w:t>
        </w:r>
      </w:hyperlink>
      <w:r>
        <w:rPr>
          <w:shd w:val="clear" w:color="auto" w:fill="f8f9fa"/>
        </w:rPr>
        <w:t xml:space="preserve">  </w:t>
      </w:r>
      <w:r/>
    </w:p>
    <w:p>
      <w:pPr>
        <w:contextualSpacing/>
        <w:ind w:firstLine="709"/>
        <w:jc w:val="both"/>
        <w:rPr>
          <w:b/>
          <w:bCs/>
          <w:i/>
        </w:rPr>
      </w:pPr>
      <w:r>
        <w:rPr>
          <w:shd w:val="clear" w:color="auto" w:fill="f8f9fa"/>
        </w:rPr>
        <w:t xml:space="preserve">3.</w:t>
      </w:r>
      <w:r>
        <w:rPr>
          <w:color w:val="212529"/>
          <w:shd w:val="clear" w:color="auto" w:fill="f8f9fa"/>
        </w:rPr>
        <w:t xml:space="preserve"> </w:t>
      </w:r>
      <w:r>
        <w:rPr>
          <w:color w:val="212529"/>
          <w:shd w:val="clear" w:color="auto" w:fill="f8f9fa"/>
        </w:rPr>
        <w:t xml:space="preserve">Богун</w:t>
      </w:r>
      <w:r>
        <w:rPr>
          <w:color w:val="212529"/>
          <w:shd w:val="clear" w:color="auto" w:fill="f8f9fa"/>
        </w:rPr>
        <w:t xml:space="preserve">, В. В. Численные методы. Исследование функций вещественного переменного с применением программ для ЭВМ: практикум для СПО / В. В. </w:t>
      </w:r>
      <w:r>
        <w:rPr>
          <w:color w:val="212529"/>
          <w:shd w:val="clear" w:color="auto" w:fill="f8f9fa"/>
        </w:rPr>
        <w:t xml:space="preserve">Богун</w:t>
      </w:r>
      <w:r>
        <w:rPr>
          <w:color w:val="212529"/>
          <w:shd w:val="clear" w:color="auto" w:fill="f8f9fa"/>
        </w:rPr>
        <w:t xml:space="preserve">. — Саратов: Профобразование, Ай Пи Ар Медиа, 2020. — 84 c. — ISBN 978-5-4488-0735-0, 978-5-4497-0418-4. — Текст: электронный // Цифровой образовательный ресурс IPR SMART: [сайт]. — URL: </w:t>
      </w:r>
      <w:hyperlink r:id="rId15" w:tooltip="https://www.iprbookshop.ru/92643.html" w:history="1">
        <w:r>
          <w:rPr>
            <w:rStyle w:val="809"/>
            <w:shd w:val="clear" w:color="auto" w:fill="f8f9fa"/>
          </w:rPr>
          <w:t xml:space="preserve">https://www.iprbookshop.ru/92643.html</w:t>
        </w:r>
      </w:hyperlink>
      <w:r>
        <w:rPr>
          <w:color w:val="212529"/>
          <w:shd w:val="clear" w:color="auto" w:fill="f8f9fa"/>
        </w:rPr>
        <w:t xml:space="preserve"> </w:t>
      </w:r>
      <w:r/>
    </w:p>
    <w:p>
      <w:pPr>
        <w:ind w:firstLine="709"/>
        <w:jc w:val="both"/>
        <w:rPr>
          <w:b/>
          <w:bCs/>
          <w:i/>
          <w:shd w:val="clear" w:color="auto" w:fill="f8f9fa"/>
        </w:rPr>
      </w:pPr>
      <w:r>
        <w:rPr>
          <w:b/>
          <w:bCs/>
          <w:i/>
          <w:shd w:val="clear" w:color="auto" w:fill="f8f9fa"/>
        </w:rPr>
      </w:r>
      <w:r/>
    </w:p>
    <w:p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 xml:space="preserve">Дополнительная литература</w:t>
      </w:r>
      <w:r/>
    </w:p>
    <w:p>
      <w:pPr>
        <w:contextualSpacing/>
        <w:ind w:firstLine="709"/>
        <w:jc w:val="both"/>
        <w:rPr>
          <w:b/>
          <w:i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 xml:space="preserve">Буйначев</w:t>
      </w:r>
      <w:r>
        <w:rPr>
          <w:shd w:val="clear" w:color="auto" w:fill="f8f9fa"/>
        </w:rPr>
        <w:t xml:space="preserve">, С. К. Применение численных методов в математическом моделировании: учебное пособие для СПО / С. К. </w:t>
      </w:r>
      <w:r>
        <w:rPr>
          <w:shd w:val="clear" w:color="auto" w:fill="f8f9fa"/>
        </w:rPr>
        <w:t xml:space="preserve">Буйначев</w:t>
      </w:r>
      <w:r>
        <w:rPr>
          <w:shd w:val="clear" w:color="auto" w:fill="f8f9fa"/>
        </w:rPr>
        <w:t xml:space="preserve"> ;</w:t>
      </w:r>
      <w:r>
        <w:rPr>
          <w:shd w:val="clear" w:color="auto" w:fill="f8f9fa"/>
        </w:rPr>
        <w:t xml:space="preserve"> под редакцией Ю. В. </w:t>
      </w:r>
      <w:r>
        <w:rPr>
          <w:shd w:val="clear" w:color="auto" w:fill="f8f9fa"/>
        </w:rPr>
        <w:t xml:space="preserve">Песина</w:t>
      </w:r>
      <w:r>
        <w:rPr>
          <w:shd w:val="clear" w:color="auto" w:fill="f8f9fa"/>
        </w:rPr>
        <w:t xml:space="preserve">. — 2-е изд. — Саратов, Екатеринбург: Профобразование, Уральский федеральный университет, 2019. — 70 c. — ISBN 978-5-4488-0415-1, 978-5-7996-2877-2. — Текст: электронный // Цифровой образовательный ресурс IPR SMART: [сайт]. — URL: </w:t>
      </w:r>
      <w:hyperlink r:id="rId16" w:tooltip="https://www.iprbookshop.ru/87850.html" w:history="1">
        <w:r>
          <w:rPr>
            <w:rStyle w:val="809"/>
            <w:shd w:val="clear" w:color="auto" w:fill="f8f9fa"/>
          </w:rPr>
          <w:t xml:space="preserve">https://www.iprbookshop.ru/87850.html</w:t>
        </w:r>
      </w:hyperlink>
      <w:r>
        <w:rPr>
          <w:shd w:val="clear" w:color="auto" w:fill="f8f9fa"/>
        </w:rPr>
        <w:t xml:space="preserve">  </w:t>
      </w:r>
      <w:r/>
    </w:p>
    <w:p>
      <w:pPr>
        <w:contextualSpacing/>
        <w:ind w:firstLine="709"/>
        <w:jc w:val="both"/>
      </w:pPr>
      <w:r>
        <w:rPr>
          <w:shd w:val="clear" w:color="auto" w:fill="fcfcfc"/>
        </w:rPr>
        <w:t xml:space="preserve">2. </w:t>
      </w:r>
      <w:r>
        <w:rPr>
          <w:shd w:val="clear" w:color="auto" w:fill="f8f9fa"/>
        </w:rPr>
        <w:t xml:space="preserve">Пименов, В. Г. Численные методы. В 2 ч. Ч. 1: учебное пособие для СПО / В. Г. </w:t>
      </w:r>
      <w:r>
        <w:rPr>
          <w:shd w:val="clear" w:color="auto" w:fill="f8f9fa"/>
        </w:rPr>
        <w:t xml:space="preserve">Пименов ;</w:t>
      </w:r>
      <w:r>
        <w:rPr>
          <w:shd w:val="clear" w:color="auto" w:fill="f8f9fa"/>
        </w:rPr>
        <w:t xml:space="preserve"> под редакцией Ю. А. </w:t>
      </w:r>
      <w:r>
        <w:rPr>
          <w:shd w:val="clear" w:color="auto" w:fill="f8f9fa"/>
        </w:rPr>
        <w:t xml:space="preserve">Меленцовой</w:t>
      </w:r>
      <w:r>
        <w:rPr>
          <w:shd w:val="clear" w:color="auto" w:fill="f8f9fa"/>
        </w:rPr>
        <w:t xml:space="preserve">. — 2-е изд. — Саратов, Екатеринбург: Профобразование, Уральский федеральный университет, 2019. — 111 c. — ISBN 978-5-4488-0398-7, 978-5-7996-2919-9. — Текст: электронный // Цифровой образовательный ресурс IPR SMART: [сайт]. — URL: </w:t>
      </w:r>
      <w:hyperlink r:id="rId17" w:tooltip="https://www.iprbookshop.ru/87906.html" w:history="1">
        <w:r>
          <w:rPr>
            <w:rStyle w:val="809"/>
            <w:shd w:val="clear" w:color="auto" w:fill="f8f9fa"/>
          </w:rPr>
          <w:t xml:space="preserve">https://www.iprbookshop.ru/87906.html</w:t>
        </w:r>
      </w:hyperlink>
      <w:r>
        <w:rPr>
          <w:shd w:val="clear" w:color="auto" w:fill="f8f9fa"/>
        </w:rPr>
        <w:t xml:space="preserve">  </w:t>
      </w:r>
      <w:r/>
    </w:p>
    <w:p>
      <w:pPr>
        <w:ind w:firstLine="709"/>
        <w:jc w:val="both"/>
        <w:tabs>
          <w:tab w:val="left" w:pos="242" w:leader="none"/>
        </w:tabs>
        <w:rPr>
          <w:rStyle w:val="809"/>
          <w:shd w:val="clear" w:color="auto" w:fill="f8f9fa"/>
        </w:rPr>
      </w:pPr>
      <w:r>
        <w:rPr>
          <w:shd w:val="clear" w:color="auto" w:fill="f8f9fa"/>
        </w:rPr>
        <w:t xml:space="preserve">3. </w:t>
      </w:r>
      <w:r>
        <w:rPr>
          <w:color w:val="212529"/>
          <w:shd w:val="clear" w:color="auto" w:fill="f8f9fa"/>
        </w:rPr>
        <w:t xml:space="preserve">Пименов, В. Г. Численные методы. В 2 ч. Ч. 2: учебное пособие для СПО / В. Г. Пименов, А. Б. </w:t>
      </w:r>
      <w:r>
        <w:rPr>
          <w:color w:val="212529"/>
          <w:shd w:val="clear" w:color="auto" w:fill="f8f9fa"/>
        </w:rPr>
        <w:t xml:space="preserve">Ложников</w:t>
      </w:r>
      <w:r>
        <w:rPr>
          <w:color w:val="212529"/>
          <w:shd w:val="clear" w:color="auto" w:fill="f8f9fa"/>
        </w:rPr>
        <w:t xml:space="preserve"> ;</w:t>
      </w:r>
      <w:r>
        <w:rPr>
          <w:color w:val="212529"/>
          <w:shd w:val="clear" w:color="auto" w:fill="f8f9fa"/>
        </w:rPr>
        <w:t xml:space="preserve"> под редакцией Ю. А. </w:t>
      </w:r>
      <w:r>
        <w:rPr>
          <w:color w:val="212529"/>
          <w:shd w:val="clear" w:color="auto" w:fill="f8f9fa"/>
        </w:rPr>
        <w:t xml:space="preserve">Меленцовой</w:t>
      </w:r>
      <w:r>
        <w:rPr>
          <w:color w:val="212529"/>
          <w:shd w:val="clear" w:color="auto" w:fill="f8f9fa"/>
        </w:rPr>
        <w:t xml:space="preserve">. — 2-е изд. — Саратов, Екатеринбург: Профобразование, Уральский федеральный университет, 2019. — 105 c. — ISBN 978-5-4488-0399-4, 978-5-7996-2894-9. — Текст: электронный // Цифровой образовательный ресурс IPR SMART: [сайт]. — URL: </w:t>
      </w:r>
      <w:hyperlink r:id="rId18" w:tooltip="https://www.iprbookshop.ru/87905.html" w:history="1">
        <w:r>
          <w:rPr>
            <w:rStyle w:val="809"/>
            <w:shd w:val="clear" w:color="auto" w:fill="f8f9fa"/>
          </w:rPr>
          <w:t xml:space="preserve">https://www.iprbookshop.ru/87905.html</w:t>
        </w:r>
      </w:hyperlink>
      <w:r/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Style w:val="809"/>
          <w:b/>
          <w:bCs/>
          <w:shd w:val="clear" w:color="auto" w:fill="f8f9fa"/>
        </w:rPr>
      </w:pPr>
      <w:r>
        <w:rPr>
          <w:b/>
          <w:bCs/>
          <w:shd w:val="clear" w:color="auto" w:fill="f8f9fa"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center"/>
      </w:pPr>
      <w:r>
        <w:rPr>
          <w:b/>
          <w:color w:val="000000"/>
        </w:rPr>
        <w:t xml:space="preserve">3.3. Требования к организации учебного процесса для инвалидов и лиц с ОВЗ</w:t>
      </w:r>
      <w:r/>
    </w:p>
    <w:p>
      <w:pPr>
        <w:ind w:firstLine="709"/>
        <w:jc w:val="both"/>
      </w:pPr>
      <w:r>
        <w:rPr>
          <w:color w:val="000000"/>
        </w:rPr>
        <w:t xml:space="preserve">Рабочая программа</w:t>
      </w:r>
      <w:r>
        <w:t xml:space="preserve"> </w:t>
      </w:r>
      <w:r>
        <w:rPr>
          <w:color w:val="000000"/>
        </w:rPr>
        <w:t xml:space="preserve">предусматривает образование лиц с ОВЗ или инва</w:t>
      </w:r>
      <w:r>
        <w:rPr>
          <w:color w:val="000000"/>
        </w:rPr>
        <w:t xml:space="preserve">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color w:val="000000"/>
        </w:rPr>
      </w:pPr>
      <w:r>
        <w:rPr>
          <w:bCs/>
          <w:color w:val="000000"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</w:rPr>
      </w:pPr>
      <w:r>
        <w:rPr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/>
    </w:p>
    <w:p>
      <w:pPr>
        <w:pStyle w:val="707"/>
        <w:ind w:firstLine="709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</w:rPr>
      </w:pPr>
      <w:r>
        <w:rPr>
          <w:b/>
          <w:caps/>
        </w:rPr>
        <w:t xml:space="preserve">4. Контроль и оценка результатов освоения Дисциплины</w:t>
      </w:r>
      <w:r/>
    </w:p>
    <w:p>
      <w:pPr>
        <w:rPr>
          <w:b/>
          <w:caps/>
        </w:rPr>
      </w:pPr>
      <w:r>
        <w:rPr>
          <w:b/>
          <w:caps/>
        </w:rPr>
      </w:r>
      <w:r/>
    </w:p>
    <w:tbl>
      <w:tblPr>
        <w:tblW w:w="515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189"/>
        <w:gridCol w:w="4312"/>
        <w:gridCol w:w="2124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2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обучения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1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 xml:space="preserve">Критерии оценки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и методы оценки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2" w:type="dxa"/>
            <w:textDirection w:val="lrTb"/>
            <w:noWrap w:val="false"/>
          </w:tcPr>
          <w:p>
            <w:r>
              <w:rPr>
                <w:bCs/>
                <w:i/>
              </w:rPr>
              <w:t xml:space="preserve">Перечень знаний, осваиваемых в рамках дисциплины:</w:t>
            </w:r>
            <w:r/>
          </w:p>
          <w:p>
            <w:pPr>
              <w:numPr>
                <w:ilvl w:val="0"/>
                <w:numId w:val="8"/>
              </w:numPr>
              <w:ind w:left="29" w:firstLine="0"/>
              <w:jc w:val="both"/>
              <w:spacing w:before="120"/>
            </w:pPr>
            <w:r>
              <w:t xml:space="preserve">методы хранения чисел в памяти электронно-вычислительной машины (далее – ЭВМ) и действия над ними, оценку точности вычислений;</w:t>
            </w:r>
            <w:r/>
          </w:p>
          <w:p>
            <w:pPr>
              <w:numPr>
                <w:ilvl w:val="0"/>
                <w:numId w:val="8"/>
              </w:numPr>
              <w:ind w:left="29" w:firstLine="0"/>
              <w:spacing w:before="120"/>
              <w:rPr>
                <w:bCs/>
              </w:rPr>
            </w:pPr>
            <w:r>
              <w:t xml:space="preserve"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17" w:type="dxa"/>
            <w:vMerge w:val="restart"/>
            <w:textDirection w:val="lrTb"/>
            <w:noWrap w:val="false"/>
          </w:tcPr>
          <w:p>
            <w:pPr>
              <w:jc w:val="both"/>
              <w:spacing w:line="288" w:lineRule="atLeast"/>
            </w:pPr>
            <w:r>
              <w:rPr>
                <w:color w:val="000000"/>
              </w:rPr>
              <w:t xml:space="preserve"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  <w:r/>
          </w:p>
          <w:p>
            <w:pPr>
              <w:jc w:val="both"/>
              <w:spacing w:before="280" w:after="280" w:line="288" w:lineRule="atLeast"/>
            </w:pPr>
            <w:r>
              <w:rPr>
                <w:color w:val="000000"/>
              </w:rPr>
              <w:t xml:space="preserve"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  <w:r/>
          </w:p>
          <w:p>
            <w:pPr>
              <w:ind w:right="-2"/>
              <w:jc w:val="both"/>
              <w:spacing w:before="248" w:after="280" w:line="288" w:lineRule="atLeast"/>
            </w:pPr>
            <w:r>
              <w:rPr>
                <w:color w:val="000000"/>
              </w:rPr>
              <w:t xml:space="preserve">«Удовлетворительно» - теоретическое содержание курса освое</w:t>
            </w:r>
            <w:r>
              <w:rPr>
                <w:color w:val="000000"/>
              </w:rPr>
              <w:t xml:space="preserve">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  <w:r/>
          </w:p>
          <w:p>
            <w:pPr>
              <w:jc w:val="both"/>
              <w:spacing w:line="288" w:lineRule="atLeast"/>
            </w:pPr>
            <w:r>
              <w:rPr>
                <w:color w:val="000000"/>
              </w:rPr>
              <w:t xml:space="preserve"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</w:pPr>
            <w:r>
              <w:t xml:space="preserve">•Тестирование</w:t>
            </w:r>
            <w:r/>
          </w:p>
          <w:p>
            <w:pPr>
              <w:jc w:val="both"/>
              <w:spacing w:before="120" w:after="120"/>
            </w:pPr>
            <w:r>
              <w:t xml:space="preserve">•Контрольная работа</w:t>
            </w:r>
            <w:r/>
          </w:p>
          <w:p>
            <w:pPr>
              <w:jc w:val="both"/>
              <w:spacing w:before="120" w:after="120"/>
            </w:pPr>
            <w:r>
              <w:t xml:space="preserve">•Самостоятельная работа</w:t>
            </w:r>
            <w:r/>
          </w:p>
          <w:p>
            <w:pPr>
              <w:jc w:val="both"/>
              <w:spacing w:before="120" w:after="120"/>
            </w:pPr>
            <w:r>
              <w:t xml:space="preserve">•Защита реферата</w:t>
            </w:r>
            <w:r/>
          </w:p>
          <w:p>
            <w:pPr>
              <w:jc w:val="both"/>
              <w:spacing w:before="120" w:after="120"/>
            </w:pPr>
            <w:r>
              <w:t xml:space="preserve">•Семинар</w:t>
            </w:r>
            <w:r/>
          </w:p>
          <w:p>
            <w:pPr>
              <w:jc w:val="both"/>
              <w:spacing w:before="120" w:after="120"/>
            </w:pPr>
            <w:r>
              <w:t xml:space="preserve">•Наблюдение за выполнением практического задания. (деятельностью студента).</w:t>
            </w:r>
            <w:r/>
          </w:p>
          <w:p>
            <w:pPr>
              <w:jc w:val="both"/>
              <w:spacing w:before="120" w:after="120"/>
            </w:pPr>
            <w:r>
              <w:t xml:space="preserve">•Оценка выполнения практического задания(работы)</w:t>
            </w:r>
            <w:r/>
          </w:p>
          <w:p>
            <w:pPr>
              <w:jc w:val="both"/>
              <w:spacing w:before="120" w:after="120"/>
            </w:pPr>
            <w:r>
              <w:t xml:space="preserve">•Подготовка и выступление с докладом, сообщением, презентацией</w:t>
            </w:r>
            <w:r/>
          </w:p>
          <w:p>
            <w:pPr>
              <w:jc w:val="both"/>
              <w:spacing w:before="120" w:after="120"/>
            </w:pPr>
            <w:r>
              <w:t xml:space="preserve">•Решение ситуационной задачи</w:t>
            </w:r>
            <w:r/>
          </w:p>
          <w:p>
            <w:pPr>
              <w:spacing w:before="120" w:after="120"/>
              <w:rPr>
                <w:bCs/>
              </w:rPr>
            </w:pPr>
            <w:r>
              <w:rPr>
                <w:bCs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92" w:type="dxa"/>
            <w:textDirection w:val="lrTb"/>
            <w:noWrap w:val="false"/>
          </w:tcPr>
          <w:p>
            <w:r>
              <w:rPr>
                <w:bCs/>
                <w:i/>
              </w:rPr>
              <w:t xml:space="preserve">Перечень умений, осваиваемых в рамках дисциплины:</w:t>
            </w:r>
            <w:r/>
          </w:p>
          <w:p>
            <w:pPr>
              <w:numPr>
                <w:ilvl w:val="0"/>
                <w:numId w:val="11"/>
              </w:numPr>
              <w:ind w:left="29" w:firstLine="0"/>
              <w:jc w:val="both"/>
              <w:spacing w:before="120"/>
            </w:pPr>
            <w:r>
              <w:t xml:space="preserve">использовать основные численные методы решения математических задач;</w:t>
            </w:r>
            <w:r/>
          </w:p>
          <w:p>
            <w:pPr>
              <w:numPr>
                <w:ilvl w:val="0"/>
                <w:numId w:val="11"/>
              </w:numPr>
              <w:ind w:left="29" w:firstLine="0"/>
              <w:jc w:val="both"/>
              <w:spacing w:before="120"/>
            </w:pPr>
            <w:r>
              <w:t xml:space="preserve">выбирать оптимальный численный метод для решения поставленной задачи;</w:t>
            </w:r>
            <w:r/>
          </w:p>
          <w:p>
            <w:pPr>
              <w:numPr>
                <w:ilvl w:val="0"/>
                <w:numId w:val="11"/>
              </w:numPr>
              <w:ind w:left="29" w:firstLine="0"/>
              <w:jc w:val="both"/>
              <w:spacing w:before="120"/>
            </w:pPr>
            <w:r>
              <w:t xml:space="preserve">давать математические характеристики точности исходной информации и оценивать точность полученного численного решения;</w:t>
            </w:r>
            <w:r/>
          </w:p>
          <w:p>
            <w:pPr>
              <w:numPr>
                <w:ilvl w:val="0"/>
                <w:numId w:val="11"/>
              </w:numPr>
              <w:ind w:left="29" w:firstLine="0"/>
              <w:spacing w:before="120"/>
              <w:rPr>
                <w:bCs/>
              </w:rPr>
            </w:pPr>
            <w:r>
              <w:t xml:space="preserve">разрабатывать алгоритмы и программы для решения вычислительных задач, учитывая необходимую точность получаемого результата.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17" w:type="dxa"/>
            <w:vMerge w:val="continue"/>
            <w:textDirection w:val="lrTb"/>
            <w:noWrap w:val="false"/>
          </w:tcPr>
          <w:p>
            <w:pPr>
              <w:spacing w:before="120" w:after="120"/>
              <w:rPr>
                <w:bCs/>
                <w:i/>
              </w:rPr>
            </w:pPr>
            <w:r>
              <w:rPr>
                <w:bCs/>
                <w:i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spacing w:before="120" w:after="120"/>
              <w:rPr>
                <w:bCs/>
                <w:i/>
              </w:rPr>
            </w:pPr>
            <w:r>
              <w:rPr>
                <w:bCs/>
                <w:i/>
              </w:rPr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ind w:firstLine="709"/>
        <w:jc w:val="center"/>
        <w:rPr>
          <w:b/>
        </w:rPr>
      </w:pPr>
      <w:r>
        <w:rPr>
          <w:b/>
        </w:rPr>
        <w:t xml:space="preserve">Лист регистраций изменений,</w:t>
      </w:r>
      <w:r/>
    </w:p>
    <w:p>
      <w:pPr>
        <w:ind w:firstLine="709"/>
        <w:jc w:val="center"/>
      </w:pPr>
      <w:r>
        <w:t xml:space="preserve">вносимых в рабочую программу учебной дисциплины </w:t>
      </w:r>
      <w:r/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№ изменений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3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Страницы  с</w:t>
            </w:r>
            <w:r>
              <w:rPr>
                <w:b/>
              </w:rPr>
              <w:t xml:space="preserve"> изменениями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Перечень и содержание измененных разделов программы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textDirection w:val="lrTb"/>
            <w:noWrap w:val="false"/>
          </w:tcPr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textDirection w:val="lrTb"/>
            <w:noWrap w:val="false"/>
          </w:tcPr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39" w:type="dxa"/>
            <w:textDirection w:val="lrTb"/>
            <w:noWrap w:val="false"/>
          </w:tcPr>
          <w:p>
            <w:pPr>
              <w:spacing w:line="360" w:lineRule="auto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01" w:type="dxa"/>
            <w:textDirection w:val="lrTb"/>
            <w:noWrap w:val="false"/>
          </w:tcPr>
          <w:p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</w:tc>
      </w:tr>
    </w:tbl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sectPr>
      <w:footerReference w:type="default" r:id="rId12"/>
      <w:footnotePr/>
      <w:endnotePr/>
      <w:type w:val="nextPage"/>
      <w:pgSz w:w="11906" w:h="16838" w:orient="portrait"/>
      <w:pgMar w:top="1134" w:right="850" w:bottom="851" w:left="1701" w:header="0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3030804020204"/>
  </w:font>
  <w:font w:name="Calibri">
    <w:panose1 w:val="020F0502020204030204"/>
  </w:font>
  <w:font w:name="Tahoma">
    <w:panose1 w:val="020B050603060203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mbria">
    <w:panose1 w:val="020206030504050203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6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6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6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sz w:val="24"/>
        <w:szCs w:val="24"/>
        <w:lang w:val="ru-RU" w:bidi="ar-SA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  <w:tabs>
          <w:tab w:val="num" w:pos="1069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1080"/>
        <w:tabs>
          <w:tab w:val="num" w:pos="1789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  <w:tabs>
          <w:tab w:val="num" w:pos="1789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  <w:tabs>
          <w:tab w:val="num" w:pos="2149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  <w:tabs>
          <w:tab w:val="num" w:pos="2509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800"/>
        <w:tabs>
          <w:tab w:val="num" w:pos="250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  <w:tabs>
          <w:tab w:val="num" w:pos="2869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82" w:hanging="36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sz w:val="24"/>
        <w:szCs w:val="24"/>
        <w:lang w:val="ru-RU" w:bidi="ar-SA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none"/>
      <w:pStyle w:val="70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70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sz w:val="24"/>
        <w:szCs w:val="24"/>
        <w:lang w:val="ru-RU" w:bidi="ar-SA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sz w:val="24"/>
        <w:szCs w:val="24"/>
        <w:lang w:val="ru-RU" w:bidi="ar-SA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sz w:val="24"/>
        <w:szCs w:val="24"/>
        <w:lang w:val="ru-RU" w:bidi="ar-SA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8" w:hanging="36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sz w:val="24"/>
        <w:szCs w:val="24"/>
        <w:lang w:val="ru-RU" w:bidi="ar-SA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sz w:val="24"/>
        <w:szCs w:val="24"/>
        <w:lang w:val="ru-RU" w:bidi="ar-SA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sz w:val="24"/>
        <w:szCs w:val="24"/>
        <w:lang w:val="ru-RU" w:bidi="ar-SA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3"/>
  </w:num>
  <w:num w:numId="5">
    <w:abstractNumId w:val="11"/>
  </w:num>
  <w:num w:numId="6">
    <w:abstractNumId w:val="7"/>
  </w:num>
  <w:num w:numId="7">
    <w:abstractNumId w:val="1"/>
  </w:num>
  <w:num w:numId="8">
    <w:abstractNumId w:val="5"/>
  </w:num>
  <w:num w:numId="9">
    <w:abstractNumId w:val="10"/>
  </w:num>
  <w:num w:numId="10">
    <w:abstractNumId w:val="0"/>
  </w:num>
  <w:num w:numId="11">
    <w:abstractNumId w:val="9"/>
  </w:num>
  <w:num w:numId="12">
    <w:abstractNumId w:val="8"/>
  </w:num>
  <w:num w:numId="13">
    <w:abstractNumId w:val="12"/>
  </w:num>
  <w:num w:numId="14">
    <w:abstractNumId w:val="6"/>
  </w:num>
  <w:num w:numId="15">
    <w:abstractNumId w:val="4"/>
  </w:num>
  <w:num w:numId="16">
    <w:abstractNumId w:val="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09"/>
    <w:link w:val="707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09"/>
    <w:link w:val="708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6"/>
    <w:next w:val="70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09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6"/>
    <w:next w:val="70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0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6"/>
    <w:next w:val="70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0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6"/>
    <w:next w:val="70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0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6"/>
    <w:next w:val="70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0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6"/>
    <w:next w:val="70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0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6"/>
    <w:next w:val="70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0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706"/>
    <w:next w:val="70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09"/>
    <w:link w:val="34"/>
    <w:uiPriority w:val="10"/>
    <w:rPr>
      <w:sz w:val="48"/>
      <w:szCs w:val="48"/>
    </w:rPr>
  </w:style>
  <w:style w:type="character" w:styleId="37">
    <w:name w:val="Subtitle Char"/>
    <w:basedOn w:val="709"/>
    <w:link w:val="829"/>
    <w:uiPriority w:val="11"/>
    <w:rPr>
      <w:sz w:val="24"/>
      <w:szCs w:val="24"/>
    </w:rPr>
  </w:style>
  <w:style w:type="paragraph" w:styleId="38">
    <w:name w:val="Quote"/>
    <w:basedOn w:val="706"/>
    <w:next w:val="70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6"/>
    <w:next w:val="70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09"/>
    <w:link w:val="828"/>
    <w:uiPriority w:val="99"/>
  </w:style>
  <w:style w:type="character" w:styleId="45">
    <w:name w:val="Footer Char"/>
    <w:basedOn w:val="709"/>
    <w:link w:val="826"/>
    <w:uiPriority w:val="99"/>
  </w:style>
  <w:style w:type="character" w:styleId="47">
    <w:name w:val="Caption Char"/>
    <w:basedOn w:val="814"/>
    <w:link w:val="826"/>
    <w:uiPriority w:val="99"/>
  </w:style>
  <w:style w:type="table" w:styleId="48">
    <w:name w:val="Table Grid"/>
    <w:basedOn w:val="71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7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19"/>
    <w:uiPriority w:val="99"/>
    <w:rPr>
      <w:sz w:val="18"/>
    </w:rPr>
  </w:style>
  <w:style w:type="character" w:styleId="177">
    <w:name w:val="footnote reference"/>
    <w:basedOn w:val="709"/>
    <w:uiPriority w:val="99"/>
    <w:unhideWhenUsed/>
    <w:rPr>
      <w:vertAlign w:val="superscript"/>
    </w:rPr>
  </w:style>
  <w:style w:type="paragraph" w:styleId="178">
    <w:name w:val="endnote text"/>
    <w:basedOn w:val="70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09"/>
    <w:uiPriority w:val="99"/>
    <w:semiHidden/>
    <w:unhideWhenUsed/>
    <w:rPr>
      <w:vertAlign w:val="superscript"/>
    </w:rPr>
  </w:style>
  <w:style w:type="paragraph" w:styleId="181">
    <w:name w:val="toc 1"/>
    <w:basedOn w:val="706"/>
    <w:next w:val="70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06"/>
    <w:next w:val="70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06"/>
    <w:next w:val="70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6"/>
    <w:next w:val="70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6"/>
    <w:next w:val="70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6"/>
    <w:next w:val="70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6"/>
    <w:next w:val="70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6"/>
    <w:next w:val="70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6"/>
    <w:next w:val="70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6"/>
    <w:next w:val="706"/>
    <w:uiPriority w:val="99"/>
    <w:unhideWhenUsed/>
    <w:pPr>
      <w:spacing w:after="0" w:afterAutospacing="0"/>
    </w:pPr>
  </w:style>
  <w:style w:type="paragraph" w:styleId="706" w:default="1">
    <w:name w:val="Normal"/>
    <w:qFormat/>
    <w:rPr>
      <w:rFonts w:eastAsia="Times New Roman" w:cs="Times New Roman"/>
      <w:lang w:val="ru-RU" w:bidi="ar-SA"/>
    </w:rPr>
  </w:style>
  <w:style w:type="paragraph" w:styleId="707">
    <w:name w:val="Heading 1"/>
    <w:basedOn w:val="706"/>
    <w:next w:val="706"/>
    <w:uiPriority w:val="9"/>
    <w:qFormat/>
    <w:pPr>
      <w:numPr>
        <w:numId w:val="1"/>
      </w:numPr>
      <w:ind w:firstLine="284"/>
      <w:keepNext/>
      <w:outlineLvl w:val="0"/>
    </w:pPr>
  </w:style>
  <w:style w:type="paragraph" w:styleId="708">
    <w:name w:val="Heading 2"/>
    <w:basedOn w:val="706"/>
    <w:next w:val="706"/>
    <w:uiPriority w:val="9"/>
    <w:unhideWhenUsed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WW8Num1z0"/>
    <w:qFormat/>
    <w:rPr>
      <w:rFonts w:ascii="Symbol" w:hAnsi="Symbol" w:eastAsia="Symbol" w:cs="Symbol"/>
      <w:b w:val="0"/>
      <w:bCs w:val="0"/>
      <w:i w:val="0"/>
      <w:iCs w:val="0"/>
      <w:sz w:val="24"/>
      <w:szCs w:val="24"/>
      <w:lang w:val="ru-RU" w:bidi="ar-SA"/>
    </w:rPr>
  </w:style>
  <w:style w:type="character" w:styleId="713" w:customStyle="1">
    <w:name w:val="WW8Num1z1"/>
    <w:qFormat/>
    <w:rPr>
      <w:lang w:val="ru-RU" w:bidi="ar-SA"/>
    </w:rPr>
  </w:style>
  <w:style w:type="character" w:styleId="714" w:customStyle="1">
    <w:name w:val="WW8Num2z0"/>
    <w:qFormat/>
    <w:rPr>
      <w:rFonts w:ascii="Symbol" w:hAnsi="Symbol" w:cs="Symbol"/>
      <w:color w:val="000000"/>
    </w:rPr>
  </w:style>
  <w:style w:type="character" w:styleId="715" w:customStyle="1">
    <w:name w:val="WW8Num2z1"/>
    <w:qFormat/>
    <w:rPr>
      <w:rFonts w:ascii="Courier New" w:hAnsi="Courier New" w:cs="Courier New"/>
    </w:rPr>
  </w:style>
  <w:style w:type="character" w:styleId="716" w:customStyle="1">
    <w:name w:val="WW8Num2z2"/>
    <w:qFormat/>
    <w:rPr>
      <w:rFonts w:ascii="Wingdings" w:hAnsi="Wingdings" w:cs="Wingdings"/>
    </w:rPr>
  </w:style>
  <w:style w:type="character" w:styleId="717" w:customStyle="1">
    <w:name w:val="WW8Num2z3"/>
    <w:qFormat/>
    <w:rPr>
      <w:rFonts w:ascii="Symbol" w:hAnsi="Symbol" w:cs="Symbol"/>
    </w:rPr>
  </w:style>
  <w:style w:type="character" w:styleId="718" w:customStyle="1">
    <w:name w:val="WW8Num3z0"/>
    <w:qFormat/>
  </w:style>
  <w:style w:type="character" w:styleId="719" w:customStyle="1">
    <w:name w:val="WW8Num4z0"/>
    <w:qFormat/>
  </w:style>
  <w:style w:type="character" w:styleId="720" w:customStyle="1">
    <w:name w:val="WW8Num5z0"/>
    <w:qFormat/>
    <w:rPr>
      <w:rFonts w:ascii="Times New Roman" w:hAnsi="Times New Roman" w:eastAsia="Times New Roman" w:cs="Times New Roman"/>
    </w:rPr>
  </w:style>
  <w:style w:type="character" w:styleId="721" w:customStyle="1">
    <w:name w:val="WW8Num5z1"/>
    <w:qFormat/>
    <w:rPr>
      <w:rFonts w:ascii="Courier New" w:hAnsi="Courier New" w:cs="Courier New"/>
    </w:rPr>
  </w:style>
  <w:style w:type="character" w:styleId="722" w:customStyle="1">
    <w:name w:val="WW8Num5z2"/>
    <w:qFormat/>
    <w:rPr>
      <w:rFonts w:ascii="Wingdings" w:hAnsi="Wingdings" w:cs="Wingdings"/>
    </w:rPr>
  </w:style>
  <w:style w:type="character" w:styleId="723" w:customStyle="1">
    <w:name w:val="WW8Num5z3"/>
    <w:qFormat/>
    <w:rPr>
      <w:rFonts w:ascii="Symbol" w:hAnsi="Symbol" w:cs="Symbol"/>
    </w:rPr>
  </w:style>
  <w:style w:type="character" w:styleId="724" w:customStyle="1">
    <w:name w:val="WW8Num6z0"/>
    <w:qFormat/>
    <w:rPr>
      <w:rFonts w:ascii="Symbol" w:hAnsi="Symbol" w:cs="Symbol"/>
    </w:rPr>
  </w:style>
  <w:style w:type="character" w:styleId="725" w:customStyle="1">
    <w:name w:val="WW8Num6z1"/>
    <w:qFormat/>
    <w:rPr>
      <w:rFonts w:ascii="Courier New" w:hAnsi="Courier New" w:cs="Courier New"/>
    </w:rPr>
  </w:style>
  <w:style w:type="character" w:styleId="726" w:customStyle="1">
    <w:name w:val="WW8Num6z2"/>
    <w:qFormat/>
    <w:rPr>
      <w:rFonts w:ascii="Wingdings" w:hAnsi="Wingdings" w:cs="Wingdings"/>
    </w:rPr>
  </w:style>
  <w:style w:type="character" w:styleId="727" w:customStyle="1">
    <w:name w:val="WW8Num7z0"/>
    <w:qFormat/>
  </w:style>
  <w:style w:type="character" w:styleId="728" w:customStyle="1">
    <w:name w:val="WW8Num8z0"/>
    <w:qFormat/>
    <w:rPr>
      <w:rFonts w:ascii="Symbol" w:hAnsi="Symbol" w:cs="Symbol"/>
    </w:rPr>
  </w:style>
  <w:style w:type="character" w:styleId="729" w:customStyle="1">
    <w:name w:val="WW8Num8z1"/>
    <w:qFormat/>
    <w:rPr>
      <w:rFonts w:ascii="Courier New" w:hAnsi="Courier New" w:cs="Courier New"/>
    </w:rPr>
  </w:style>
  <w:style w:type="character" w:styleId="730" w:customStyle="1">
    <w:name w:val="WW8Num8z2"/>
    <w:qFormat/>
    <w:rPr>
      <w:rFonts w:ascii="Wingdings" w:hAnsi="Wingdings" w:cs="Wingdings"/>
    </w:rPr>
  </w:style>
  <w:style w:type="character" w:styleId="731" w:customStyle="1">
    <w:name w:val="WW8Num9z0"/>
    <w:qFormat/>
    <w:rPr>
      <w:rFonts w:ascii="Symbol" w:hAnsi="Symbol" w:eastAsia="Symbol" w:cs="Symbol"/>
      <w:b w:val="0"/>
      <w:bCs w:val="0"/>
      <w:i w:val="0"/>
      <w:iCs w:val="0"/>
      <w:sz w:val="24"/>
      <w:szCs w:val="24"/>
      <w:lang w:val="ru-RU" w:bidi="ar-SA"/>
    </w:rPr>
  </w:style>
  <w:style w:type="character" w:styleId="732" w:customStyle="1">
    <w:name w:val="WW8Num9z1"/>
    <w:qFormat/>
    <w:rPr>
      <w:rFonts w:ascii="Courier New" w:hAnsi="Courier New" w:cs="Courier New"/>
    </w:rPr>
  </w:style>
  <w:style w:type="character" w:styleId="733" w:customStyle="1">
    <w:name w:val="WW8Num9z2"/>
    <w:qFormat/>
    <w:rPr>
      <w:rFonts w:ascii="Wingdings" w:hAnsi="Wingdings" w:cs="Wingdings"/>
    </w:rPr>
  </w:style>
  <w:style w:type="character" w:styleId="734" w:customStyle="1">
    <w:name w:val="WW8Num9z3"/>
    <w:qFormat/>
    <w:rPr>
      <w:rFonts w:ascii="Symbol" w:hAnsi="Symbol" w:cs="Symbol"/>
    </w:rPr>
  </w:style>
  <w:style w:type="character" w:styleId="735" w:customStyle="1">
    <w:name w:val="WW8Num10z0"/>
    <w:qFormat/>
    <w:rPr>
      <w:rFonts w:ascii="Symbol" w:hAnsi="Symbol" w:eastAsia="Symbol" w:cs="Symbol"/>
      <w:b w:val="0"/>
      <w:bCs w:val="0"/>
      <w:i w:val="0"/>
      <w:iCs w:val="0"/>
      <w:sz w:val="24"/>
      <w:szCs w:val="24"/>
      <w:lang w:val="ru-RU" w:bidi="ar-SA"/>
    </w:rPr>
  </w:style>
  <w:style w:type="character" w:styleId="736" w:customStyle="1">
    <w:name w:val="WW8Num10z1"/>
    <w:qFormat/>
    <w:rPr>
      <w:rFonts w:ascii="Courier New" w:hAnsi="Courier New" w:cs="Courier New"/>
    </w:rPr>
  </w:style>
  <w:style w:type="character" w:styleId="737" w:customStyle="1">
    <w:name w:val="WW8Num10z2"/>
    <w:qFormat/>
    <w:rPr>
      <w:rFonts w:ascii="Wingdings" w:hAnsi="Wingdings" w:cs="Wingdings"/>
    </w:rPr>
  </w:style>
  <w:style w:type="character" w:styleId="738" w:customStyle="1">
    <w:name w:val="WW8Num10z3"/>
    <w:qFormat/>
    <w:rPr>
      <w:rFonts w:ascii="Symbol" w:hAnsi="Symbol" w:cs="Symbol"/>
    </w:rPr>
  </w:style>
  <w:style w:type="character" w:styleId="739" w:customStyle="1">
    <w:name w:val="WW8Num11z0"/>
    <w:qFormat/>
    <w:rPr>
      <w:rFonts w:ascii="Symbol" w:hAnsi="Symbol" w:eastAsia="Symbol" w:cs="Symbol"/>
      <w:b w:val="0"/>
      <w:bCs w:val="0"/>
      <w:i w:val="0"/>
      <w:iCs w:val="0"/>
      <w:sz w:val="24"/>
      <w:szCs w:val="24"/>
      <w:lang w:val="ru-RU" w:bidi="ar-SA"/>
    </w:rPr>
  </w:style>
  <w:style w:type="character" w:styleId="740" w:customStyle="1">
    <w:name w:val="WW8Num11z1"/>
    <w:qFormat/>
    <w:rPr>
      <w:rFonts w:ascii="Courier New" w:hAnsi="Courier New" w:cs="Courier New"/>
    </w:rPr>
  </w:style>
  <w:style w:type="character" w:styleId="741" w:customStyle="1">
    <w:name w:val="WW8Num11z2"/>
    <w:qFormat/>
    <w:rPr>
      <w:rFonts w:ascii="Wingdings" w:hAnsi="Wingdings" w:cs="Wingdings"/>
    </w:rPr>
  </w:style>
  <w:style w:type="character" w:styleId="742" w:customStyle="1">
    <w:name w:val="WW8Num11z3"/>
    <w:qFormat/>
    <w:rPr>
      <w:rFonts w:ascii="Symbol" w:hAnsi="Symbol" w:cs="Symbol"/>
    </w:rPr>
  </w:style>
  <w:style w:type="character" w:styleId="743" w:customStyle="1">
    <w:name w:val="WW8Num13z0"/>
    <w:qFormat/>
    <w:rPr>
      <w:rFonts w:ascii="Times New Roman" w:hAnsi="Times New Roman" w:eastAsia="Times New Roman" w:cs="Times New Roman"/>
    </w:rPr>
  </w:style>
  <w:style w:type="character" w:styleId="744" w:customStyle="1">
    <w:name w:val="WW8Num13z1"/>
    <w:qFormat/>
  </w:style>
  <w:style w:type="character" w:styleId="745" w:customStyle="1">
    <w:name w:val="WW8Num14z0"/>
    <w:qFormat/>
    <w:rPr>
      <w:rFonts w:ascii="Symbol" w:hAnsi="Symbol" w:cs="Symbol"/>
    </w:rPr>
  </w:style>
  <w:style w:type="character" w:styleId="746" w:customStyle="1">
    <w:name w:val="WW8Num14z1"/>
    <w:qFormat/>
    <w:rPr>
      <w:rFonts w:ascii="Courier New" w:hAnsi="Courier New" w:cs="Courier New"/>
    </w:rPr>
  </w:style>
  <w:style w:type="character" w:styleId="747" w:customStyle="1">
    <w:name w:val="WW8Num14z2"/>
    <w:qFormat/>
    <w:rPr>
      <w:rFonts w:ascii="Wingdings" w:hAnsi="Wingdings" w:cs="Wingdings"/>
    </w:rPr>
  </w:style>
  <w:style w:type="character" w:styleId="748" w:customStyle="1">
    <w:name w:val="WW8Num15z0"/>
    <w:qFormat/>
    <w:rPr>
      <w:b w:val="0"/>
      <w:i w:val="0"/>
    </w:rPr>
  </w:style>
  <w:style w:type="character" w:styleId="749" w:customStyle="1">
    <w:name w:val="WW8Num16z0"/>
    <w:qFormat/>
    <w:rPr>
      <w:rFonts w:ascii="Symbol" w:hAnsi="Symbol" w:eastAsia="Symbol" w:cs="Symbol"/>
      <w:b w:val="0"/>
      <w:bCs w:val="0"/>
      <w:i w:val="0"/>
      <w:iCs w:val="0"/>
      <w:sz w:val="24"/>
      <w:szCs w:val="24"/>
      <w:lang w:val="ru-RU" w:bidi="ar-SA"/>
    </w:rPr>
  </w:style>
  <w:style w:type="character" w:styleId="750" w:customStyle="1">
    <w:name w:val="WW8Num16z1"/>
    <w:qFormat/>
    <w:rPr>
      <w:rFonts w:ascii="Courier New" w:hAnsi="Courier New" w:cs="Courier New"/>
    </w:rPr>
  </w:style>
  <w:style w:type="character" w:styleId="751" w:customStyle="1">
    <w:name w:val="WW8Num16z2"/>
    <w:qFormat/>
    <w:rPr>
      <w:rFonts w:ascii="Wingdings" w:hAnsi="Wingdings" w:cs="Wingdings"/>
    </w:rPr>
  </w:style>
  <w:style w:type="character" w:styleId="752" w:customStyle="1">
    <w:name w:val="WW8Num16z3"/>
    <w:qFormat/>
    <w:rPr>
      <w:rFonts w:ascii="Symbol" w:hAnsi="Symbol" w:cs="Symbol"/>
    </w:rPr>
  </w:style>
  <w:style w:type="character" w:styleId="753" w:customStyle="1">
    <w:name w:val="WW8Num17z0"/>
    <w:qFormat/>
    <w:rPr>
      <w:rFonts w:ascii="Times New Roman" w:hAnsi="Times New Roman" w:cs="Times New Roman"/>
    </w:rPr>
  </w:style>
  <w:style w:type="character" w:styleId="754" w:customStyle="1">
    <w:name w:val="WW8Num17z1"/>
    <w:qFormat/>
    <w:rPr>
      <w:rFonts w:ascii="Courier New" w:hAnsi="Courier New" w:cs="Courier New"/>
    </w:rPr>
  </w:style>
  <w:style w:type="character" w:styleId="755" w:customStyle="1">
    <w:name w:val="WW8Num17z2"/>
    <w:qFormat/>
    <w:rPr>
      <w:rFonts w:ascii="Wingdings" w:hAnsi="Wingdings" w:cs="Wingdings"/>
    </w:rPr>
  </w:style>
  <w:style w:type="character" w:styleId="756" w:customStyle="1">
    <w:name w:val="WW8Num17z3"/>
    <w:qFormat/>
    <w:rPr>
      <w:rFonts w:ascii="Symbol" w:hAnsi="Symbol" w:cs="Symbol"/>
    </w:rPr>
  </w:style>
  <w:style w:type="character" w:styleId="757" w:customStyle="1">
    <w:name w:val="WW8Num18z0"/>
    <w:qFormat/>
  </w:style>
  <w:style w:type="character" w:styleId="758" w:customStyle="1">
    <w:name w:val="WW8Num19z0"/>
    <w:qFormat/>
    <w:rPr>
      <w:rFonts w:ascii="Symbol" w:hAnsi="Symbol" w:eastAsia="Symbol" w:cs="Symbol"/>
      <w:b w:val="0"/>
      <w:bCs w:val="0"/>
      <w:i w:val="0"/>
      <w:iCs w:val="0"/>
      <w:sz w:val="24"/>
      <w:szCs w:val="24"/>
      <w:lang w:val="ru-RU" w:bidi="ar-SA"/>
    </w:rPr>
  </w:style>
  <w:style w:type="character" w:styleId="759" w:customStyle="1">
    <w:name w:val="WW8Num19z1"/>
    <w:qFormat/>
    <w:rPr>
      <w:rFonts w:ascii="Courier New" w:hAnsi="Courier New" w:cs="Courier New"/>
    </w:rPr>
  </w:style>
  <w:style w:type="character" w:styleId="760" w:customStyle="1">
    <w:name w:val="WW8Num19z2"/>
    <w:qFormat/>
    <w:rPr>
      <w:rFonts w:ascii="Wingdings" w:hAnsi="Wingdings" w:cs="Wingdings"/>
    </w:rPr>
  </w:style>
  <w:style w:type="character" w:styleId="761" w:customStyle="1">
    <w:name w:val="WW8Num19z3"/>
    <w:qFormat/>
    <w:rPr>
      <w:rFonts w:ascii="Symbol" w:hAnsi="Symbol" w:cs="Symbol"/>
    </w:rPr>
  </w:style>
  <w:style w:type="character" w:styleId="762" w:customStyle="1">
    <w:name w:val="WW8Num20z0"/>
    <w:qFormat/>
    <w:rPr>
      <w:rFonts w:ascii="Symbol" w:hAnsi="Symbol" w:cs="Symbol"/>
    </w:rPr>
  </w:style>
  <w:style w:type="character" w:styleId="763" w:customStyle="1">
    <w:name w:val="WW8Num20z1"/>
    <w:qFormat/>
    <w:rPr>
      <w:rFonts w:ascii="Courier New" w:hAnsi="Courier New" w:cs="Courier New"/>
    </w:rPr>
  </w:style>
  <w:style w:type="character" w:styleId="764" w:customStyle="1">
    <w:name w:val="WW8Num20z2"/>
    <w:qFormat/>
    <w:rPr>
      <w:rFonts w:ascii="Wingdings" w:hAnsi="Wingdings" w:cs="Wingdings"/>
    </w:rPr>
  </w:style>
  <w:style w:type="character" w:styleId="765" w:customStyle="1">
    <w:name w:val="WW8Num23z0"/>
    <w:qFormat/>
    <w:rPr>
      <w:rFonts w:ascii="Symbol" w:hAnsi="Symbol" w:cs="Symbol"/>
      <w:color w:val="000000"/>
    </w:rPr>
  </w:style>
  <w:style w:type="character" w:styleId="766" w:customStyle="1">
    <w:name w:val="WW8Num23z1"/>
    <w:qFormat/>
    <w:rPr>
      <w:rFonts w:ascii="Courier New" w:hAnsi="Courier New" w:cs="Courier New"/>
    </w:rPr>
  </w:style>
  <w:style w:type="character" w:styleId="767" w:customStyle="1">
    <w:name w:val="WW8Num23z2"/>
    <w:qFormat/>
    <w:rPr>
      <w:rFonts w:ascii="Wingdings" w:hAnsi="Wingdings" w:cs="Wingdings"/>
    </w:rPr>
  </w:style>
  <w:style w:type="character" w:styleId="768" w:customStyle="1">
    <w:name w:val="WW8Num23z3"/>
    <w:qFormat/>
    <w:rPr>
      <w:rFonts w:ascii="Symbol" w:hAnsi="Symbol" w:cs="Symbol"/>
    </w:rPr>
  </w:style>
  <w:style w:type="character" w:styleId="769" w:customStyle="1">
    <w:name w:val="WW8Num24z0"/>
    <w:qFormat/>
    <w:rPr>
      <w:rFonts w:ascii="Symbol" w:hAnsi="Symbol" w:cs="Symbol"/>
    </w:rPr>
  </w:style>
  <w:style w:type="character" w:styleId="770" w:customStyle="1">
    <w:name w:val="WW8Num24z1"/>
    <w:qFormat/>
    <w:rPr>
      <w:rFonts w:ascii="Courier New" w:hAnsi="Courier New" w:cs="Courier New"/>
    </w:rPr>
  </w:style>
  <w:style w:type="character" w:styleId="771" w:customStyle="1">
    <w:name w:val="WW8Num24z2"/>
    <w:qFormat/>
    <w:rPr>
      <w:rFonts w:ascii="Wingdings" w:hAnsi="Wingdings" w:cs="Wingdings"/>
    </w:rPr>
  </w:style>
  <w:style w:type="character" w:styleId="772" w:customStyle="1">
    <w:name w:val="WW8Num25z0"/>
    <w:qFormat/>
    <w:rPr>
      <w:rFonts w:ascii="Symbol" w:hAnsi="Symbol" w:cs="Symbol"/>
    </w:rPr>
  </w:style>
  <w:style w:type="character" w:styleId="773" w:customStyle="1">
    <w:name w:val="WW8Num25z1"/>
    <w:qFormat/>
    <w:rPr>
      <w:rFonts w:ascii="Courier New" w:hAnsi="Courier New" w:cs="Courier New"/>
    </w:rPr>
  </w:style>
  <w:style w:type="character" w:styleId="774" w:customStyle="1">
    <w:name w:val="WW8Num25z2"/>
    <w:qFormat/>
    <w:rPr>
      <w:rFonts w:ascii="Wingdings" w:hAnsi="Wingdings" w:cs="Wingdings"/>
    </w:rPr>
  </w:style>
  <w:style w:type="character" w:styleId="775" w:customStyle="1">
    <w:name w:val="WW8Num26z0"/>
    <w:qFormat/>
    <w:rPr>
      <w:rFonts w:ascii="Symbol" w:hAnsi="Symbol" w:cs="Symbol"/>
    </w:rPr>
  </w:style>
  <w:style w:type="character" w:styleId="776" w:customStyle="1">
    <w:name w:val="WW8Num26z1"/>
    <w:qFormat/>
    <w:rPr>
      <w:rFonts w:ascii="Courier New" w:hAnsi="Courier New" w:cs="Courier New"/>
    </w:rPr>
  </w:style>
  <w:style w:type="character" w:styleId="777" w:customStyle="1">
    <w:name w:val="WW8Num26z2"/>
    <w:qFormat/>
    <w:rPr>
      <w:rFonts w:ascii="Wingdings" w:hAnsi="Wingdings" w:cs="Wingdings"/>
    </w:rPr>
  </w:style>
  <w:style w:type="character" w:styleId="778" w:customStyle="1">
    <w:name w:val="WW8Num27z0"/>
    <w:qFormat/>
    <w:rPr>
      <w:rFonts w:ascii="Symbol" w:hAnsi="Symbol" w:eastAsia="Symbol" w:cs="Symbol"/>
      <w:b w:val="0"/>
      <w:bCs w:val="0"/>
      <w:i w:val="0"/>
      <w:iCs w:val="0"/>
      <w:sz w:val="24"/>
      <w:szCs w:val="24"/>
      <w:lang w:val="ru-RU" w:bidi="ar-SA"/>
    </w:rPr>
  </w:style>
  <w:style w:type="character" w:styleId="779" w:customStyle="1">
    <w:name w:val="WW8Num27z1"/>
    <w:qFormat/>
    <w:rPr>
      <w:rFonts w:ascii="Courier New" w:hAnsi="Courier New" w:cs="Courier New"/>
    </w:rPr>
  </w:style>
  <w:style w:type="character" w:styleId="780" w:customStyle="1">
    <w:name w:val="WW8Num27z2"/>
    <w:qFormat/>
    <w:rPr>
      <w:rFonts w:ascii="Wingdings" w:hAnsi="Wingdings" w:cs="Wingdings"/>
    </w:rPr>
  </w:style>
  <w:style w:type="character" w:styleId="781" w:customStyle="1">
    <w:name w:val="WW8Num27z3"/>
    <w:qFormat/>
    <w:rPr>
      <w:rFonts w:ascii="Symbol" w:hAnsi="Symbol" w:cs="Symbol"/>
    </w:rPr>
  </w:style>
  <w:style w:type="character" w:styleId="782" w:customStyle="1">
    <w:name w:val="WW8Num28z0"/>
    <w:qFormat/>
    <w:rPr>
      <w:rFonts w:ascii="Symbol" w:hAnsi="Symbol" w:cs="Symbol"/>
    </w:rPr>
  </w:style>
  <w:style w:type="character" w:styleId="783" w:customStyle="1">
    <w:name w:val="WW8Num28z1"/>
    <w:qFormat/>
    <w:rPr>
      <w:rFonts w:ascii="Courier New" w:hAnsi="Courier New" w:cs="Courier New"/>
    </w:rPr>
  </w:style>
  <w:style w:type="character" w:styleId="784" w:customStyle="1">
    <w:name w:val="WW8Num28z2"/>
    <w:qFormat/>
    <w:rPr>
      <w:rFonts w:ascii="Wingdings" w:hAnsi="Wingdings" w:cs="Wingdings"/>
    </w:rPr>
  </w:style>
  <w:style w:type="character" w:styleId="785" w:customStyle="1">
    <w:name w:val="WW8Num29z0"/>
    <w:qFormat/>
    <w:rPr>
      <w:b w:val="0"/>
      <w:i w:val="0"/>
    </w:rPr>
  </w:style>
  <w:style w:type="character" w:styleId="786" w:customStyle="1">
    <w:name w:val="WW8Num31z0"/>
    <w:qFormat/>
    <w:rPr>
      <w:rFonts w:ascii="Symbol" w:hAnsi="Symbol" w:eastAsia="Symbol" w:cs="Symbol"/>
      <w:b w:val="0"/>
      <w:bCs w:val="0"/>
      <w:i w:val="0"/>
      <w:iCs w:val="0"/>
      <w:sz w:val="24"/>
      <w:szCs w:val="24"/>
      <w:lang w:val="ru-RU" w:bidi="ar-SA"/>
    </w:rPr>
  </w:style>
  <w:style w:type="character" w:styleId="787" w:customStyle="1">
    <w:name w:val="WW8Num31z1"/>
    <w:qFormat/>
    <w:rPr>
      <w:rFonts w:ascii="Courier New" w:hAnsi="Courier New" w:cs="Courier New"/>
    </w:rPr>
  </w:style>
  <w:style w:type="character" w:styleId="788" w:customStyle="1">
    <w:name w:val="WW8Num31z2"/>
    <w:qFormat/>
    <w:rPr>
      <w:rFonts w:ascii="Wingdings" w:hAnsi="Wingdings" w:cs="Wingdings"/>
    </w:rPr>
  </w:style>
  <w:style w:type="character" w:styleId="789" w:customStyle="1">
    <w:name w:val="WW8Num31z3"/>
    <w:qFormat/>
    <w:rPr>
      <w:rFonts w:ascii="Symbol" w:hAnsi="Symbol" w:cs="Symbol"/>
    </w:rPr>
  </w:style>
  <w:style w:type="character" w:styleId="790" w:customStyle="1">
    <w:name w:val="WW8Num32z0"/>
    <w:qFormat/>
    <w:rPr>
      <w:rFonts w:ascii="Symbol" w:hAnsi="Symbol" w:cs="Symbol"/>
      <w:color w:val="000000"/>
    </w:rPr>
  </w:style>
  <w:style w:type="character" w:styleId="791" w:customStyle="1">
    <w:name w:val="WW8Num32z1"/>
    <w:qFormat/>
    <w:rPr>
      <w:rFonts w:ascii="Courier New" w:hAnsi="Courier New" w:cs="Courier New"/>
    </w:rPr>
  </w:style>
  <w:style w:type="character" w:styleId="792" w:customStyle="1">
    <w:name w:val="WW8Num32z2"/>
    <w:qFormat/>
    <w:rPr>
      <w:rFonts w:ascii="Wingdings" w:hAnsi="Wingdings" w:cs="Wingdings"/>
    </w:rPr>
  </w:style>
  <w:style w:type="character" w:styleId="793" w:customStyle="1">
    <w:name w:val="WW8Num32z3"/>
    <w:qFormat/>
    <w:rPr>
      <w:rFonts w:ascii="Symbol" w:hAnsi="Symbol" w:cs="Symbol"/>
    </w:rPr>
  </w:style>
  <w:style w:type="character" w:styleId="794" w:customStyle="1">
    <w:name w:val="WW8Num33z0"/>
    <w:qFormat/>
    <w:rPr>
      <w:b w:val="0"/>
      <w:i w:val="0"/>
    </w:rPr>
  </w:style>
  <w:style w:type="character" w:styleId="795">
    <w:name w:val="Strong"/>
    <w:qFormat/>
    <w:rPr>
      <w:b/>
      <w:bCs/>
    </w:rPr>
  </w:style>
  <w:style w:type="character" w:styleId="796" w:customStyle="1">
    <w:name w:val="Footnote Characters"/>
    <w:qFormat/>
    <w:rPr>
      <w:vertAlign w:val="superscript"/>
    </w:rPr>
  </w:style>
  <w:style w:type="character" w:styleId="797" w:customStyle="1">
    <w:name w:val="Основной текст Знак"/>
    <w:qFormat/>
    <w:rPr>
      <w:sz w:val="24"/>
      <w:szCs w:val="24"/>
      <w:lang w:val="ru-RU" w:bidi="ar-SA"/>
    </w:rPr>
  </w:style>
  <w:style w:type="character" w:styleId="798">
    <w:name w:val="annotation reference"/>
    <w:qFormat/>
    <w:rPr>
      <w:sz w:val="16"/>
      <w:szCs w:val="16"/>
    </w:rPr>
  </w:style>
  <w:style w:type="character" w:styleId="799">
    <w:name w:val="page number"/>
    <w:basedOn w:val="709"/>
  </w:style>
  <w:style w:type="character" w:styleId="800" w:customStyle="1">
    <w:name w:val="Подзаголовок Знак"/>
    <w:qFormat/>
    <w:rPr>
      <w:sz w:val="24"/>
    </w:rPr>
  </w:style>
  <w:style w:type="character" w:styleId="801">
    <w:name w:val="Emphasis"/>
    <w:qFormat/>
    <w:rPr>
      <w:i/>
      <w:iCs/>
    </w:rPr>
  </w:style>
  <w:style w:type="character" w:styleId="802" w:customStyle="1">
    <w:name w:val="apple-converted-space"/>
    <w:basedOn w:val="709"/>
    <w:qFormat/>
  </w:style>
  <w:style w:type="character" w:styleId="803" w:customStyle="1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04" w:customStyle="1">
    <w:name w:val="Текст сноски Знак"/>
    <w:basedOn w:val="709"/>
    <w:qFormat/>
  </w:style>
  <w:style w:type="character" w:styleId="805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806" w:customStyle="1">
    <w:name w:val="Без интервала Знак"/>
    <w:qFormat/>
    <w:rPr>
      <w:color w:val="000000"/>
      <w:lang w:val="ru-RU" w:bidi="ar-SA"/>
    </w:rPr>
  </w:style>
  <w:style w:type="character" w:styleId="807" w:customStyle="1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808" w:customStyle="1">
    <w:name w:val="Текст примечания Знак"/>
    <w:qFormat/>
  </w:style>
  <w:style w:type="character" w:styleId="809">
    <w:name w:val="Hyperlink"/>
    <w:rPr>
      <w:color w:val="0000ff"/>
      <w:u w:val="single"/>
    </w:rPr>
  </w:style>
  <w:style w:type="character" w:styleId="810" w:customStyle="1">
    <w:name w:val="Абзац списка Знак"/>
    <w:qFormat/>
    <w:rPr>
      <w:rFonts w:ascii="Calibri" w:hAnsi="Calibri" w:cs="Calibri"/>
      <w:sz w:val="22"/>
      <w:szCs w:val="22"/>
    </w:rPr>
  </w:style>
  <w:style w:type="paragraph" w:styleId="811" w:customStyle="1">
    <w:name w:val="Heading"/>
    <w:basedOn w:val="706"/>
    <w:next w:val="812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812">
    <w:name w:val="Body Text"/>
    <w:basedOn w:val="706"/>
    <w:pPr>
      <w:spacing w:after="120"/>
    </w:pPr>
  </w:style>
  <w:style w:type="paragraph" w:styleId="813">
    <w:name w:val="List"/>
    <w:basedOn w:val="812"/>
  </w:style>
  <w:style w:type="paragraph" w:styleId="814">
    <w:name w:val="Caption"/>
    <w:basedOn w:val="706"/>
    <w:qFormat/>
    <w:pPr>
      <w:spacing w:before="120" w:after="120"/>
      <w:suppressLineNumbers/>
    </w:pPr>
    <w:rPr>
      <w:i/>
      <w:iCs/>
    </w:rPr>
  </w:style>
  <w:style w:type="paragraph" w:styleId="815" w:customStyle="1">
    <w:name w:val="Index"/>
    <w:basedOn w:val="706"/>
    <w:qFormat/>
    <w:pPr>
      <w:suppressLineNumbers/>
    </w:pPr>
  </w:style>
  <w:style w:type="paragraph" w:styleId="816">
    <w:name w:val="Normal (Web)"/>
    <w:basedOn w:val="706"/>
    <w:qFormat/>
    <w:pPr>
      <w:spacing w:before="280" w:after="280"/>
    </w:pPr>
  </w:style>
  <w:style w:type="paragraph" w:styleId="817">
    <w:name w:val="List 2"/>
    <w:basedOn w:val="706"/>
    <w:qFormat/>
    <w:pPr>
      <w:ind w:left="566" w:hanging="283"/>
    </w:pPr>
  </w:style>
  <w:style w:type="paragraph" w:styleId="818">
    <w:name w:val="Body Text Indent 2"/>
    <w:basedOn w:val="706"/>
    <w:qFormat/>
    <w:pPr>
      <w:ind w:left="283"/>
      <w:spacing w:after="120" w:line="480" w:lineRule="auto"/>
    </w:pPr>
  </w:style>
  <w:style w:type="paragraph" w:styleId="819">
    <w:name w:val="footnote text"/>
    <w:basedOn w:val="706"/>
    <w:rPr>
      <w:sz w:val="20"/>
      <w:szCs w:val="20"/>
    </w:rPr>
  </w:style>
  <w:style w:type="paragraph" w:styleId="820">
    <w:name w:val="Balloon Text"/>
    <w:basedOn w:val="706"/>
    <w:qFormat/>
    <w:rPr>
      <w:rFonts w:ascii="Tahoma" w:hAnsi="Tahoma" w:cs="Tahoma"/>
      <w:sz w:val="16"/>
      <w:szCs w:val="16"/>
      <w:lang w:val="en-US"/>
    </w:rPr>
  </w:style>
  <w:style w:type="paragraph" w:styleId="821">
    <w:name w:val="Body Text 2"/>
    <w:basedOn w:val="706"/>
    <w:qFormat/>
    <w:pPr>
      <w:spacing w:after="120" w:line="480" w:lineRule="auto"/>
    </w:pPr>
  </w:style>
  <w:style w:type="paragraph" w:styleId="822">
    <w:name w:val="annotation text"/>
    <w:basedOn w:val="706"/>
    <w:qFormat/>
    <w:rPr>
      <w:sz w:val="20"/>
      <w:szCs w:val="20"/>
    </w:rPr>
  </w:style>
  <w:style w:type="paragraph" w:styleId="823">
    <w:name w:val="annotation subject"/>
    <w:basedOn w:val="822"/>
    <w:next w:val="822"/>
    <w:qFormat/>
    <w:rPr>
      <w:b/>
      <w:bCs/>
    </w:rPr>
  </w:style>
  <w:style w:type="paragraph" w:styleId="824" w:customStyle="1">
    <w:name w:val="Знак"/>
    <w:basedOn w:val="706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825" w:customStyle="1">
    <w:name w:val="Header and Footer"/>
    <w:basedOn w:val="706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826">
    <w:name w:val="Footer"/>
    <w:basedOn w:val="706"/>
    <w:pPr>
      <w:tabs>
        <w:tab w:val="center" w:pos="4677" w:leader="none"/>
        <w:tab w:val="right" w:pos="9355" w:leader="none"/>
      </w:tabs>
    </w:pPr>
  </w:style>
  <w:style w:type="paragraph" w:styleId="827" w:customStyle="1">
    <w:name w:val="Знак2"/>
    <w:basedOn w:val="706"/>
    <w:qFormat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828">
    <w:name w:val="Header"/>
    <w:basedOn w:val="706"/>
    <w:pPr>
      <w:tabs>
        <w:tab w:val="center" w:pos="4677" w:leader="none"/>
        <w:tab w:val="right" w:pos="9355" w:leader="none"/>
      </w:tabs>
    </w:pPr>
  </w:style>
  <w:style w:type="paragraph" w:styleId="829">
    <w:name w:val="Subtitle"/>
    <w:basedOn w:val="706"/>
    <w:next w:val="812"/>
    <w:uiPriority w:val="11"/>
    <w:qFormat/>
    <w:pPr>
      <w:jc w:val="center"/>
    </w:pPr>
    <w:rPr>
      <w:szCs w:val="20"/>
      <w:lang w:val="en-US"/>
    </w:rPr>
  </w:style>
  <w:style w:type="paragraph" w:styleId="830">
    <w:name w:val="List Paragraph"/>
    <w:basedOn w:val="706"/>
    <w:qFormat/>
    <w:pPr>
      <w:contextualSpacing/>
      <w:ind w:left="720"/>
      <w:spacing w:after="160" w:line="256" w:lineRule="auto"/>
    </w:pPr>
    <w:rPr>
      <w:rFonts w:ascii="Calibri" w:hAnsi="Calibri"/>
      <w:sz w:val="22"/>
      <w:szCs w:val="22"/>
    </w:rPr>
  </w:style>
  <w:style w:type="paragraph" w:styleId="831" w:customStyle="1">
    <w:name w:val="Default"/>
    <w:qFormat/>
    <w:rPr>
      <w:rFonts w:eastAsia="Calibri" w:cs="Times New Roman"/>
      <w:color w:val="000000"/>
      <w:lang w:val="ru-RU" w:bidi="ar-SA"/>
    </w:rPr>
  </w:style>
  <w:style w:type="paragraph" w:styleId="832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833">
    <w:name w:val="Body Text Indent"/>
    <w:basedOn w:val="706"/>
    <w:pPr>
      <w:ind w:left="283"/>
      <w:spacing w:after="120" w:line="276" w:lineRule="auto"/>
    </w:pPr>
    <w:rPr>
      <w:rFonts w:ascii="Calibri" w:hAnsi="Calibri" w:cs="Calibri"/>
      <w:sz w:val="22"/>
      <w:szCs w:val="22"/>
      <w:lang w:val="en-US"/>
    </w:rPr>
  </w:style>
  <w:style w:type="paragraph" w:styleId="834" w:customStyle="1">
    <w:name w:val="Содержимое таблицы"/>
    <w:basedOn w:val="706"/>
    <w:qFormat/>
    <w:pPr>
      <w:suppressLineNumbers/>
    </w:pPr>
  </w:style>
  <w:style w:type="paragraph" w:styleId="835" w:customStyle="1">
    <w:name w:val="ConsPlusTitle"/>
    <w:qFormat/>
    <w:pPr>
      <w:widowControl w:val="off"/>
    </w:pPr>
    <w:rPr>
      <w:rFonts w:ascii="Calibri" w:hAnsi="Calibri" w:eastAsia="Times New Roman" w:cs="Calibri"/>
      <w:b/>
      <w:sz w:val="22"/>
      <w:szCs w:val="20"/>
      <w:lang w:val="ru-RU" w:bidi="ar-SA"/>
    </w:rPr>
  </w:style>
  <w:style w:type="paragraph" w:styleId="836" w:customStyle="1">
    <w:name w:val="Table Contents"/>
    <w:basedOn w:val="706"/>
    <w:qFormat/>
    <w:pPr>
      <w:widowControl w:val="off"/>
      <w:suppressLineNumbers/>
    </w:pPr>
  </w:style>
  <w:style w:type="paragraph" w:styleId="837" w:customStyle="1">
    <w:name w:val="Table Heading"/>
    <w:basedOn w:val="836"/>
    <w:qFormat/>
    <w:pPr>
      <w:jc w:val="center"/>
    </w:pPr>
    <w:rPr>
      <w:b/>
      <w:bCs/>
    </w:rPr>
  </w:style>
  <w:style w:type="numbering" w:styleId="838" w:customStyle="1">
    <w:name w:val="WW8Num1"/>
    <w:qFormat/>
  </w:style>
  <w:style w:type="numbering" w:styleId="839" w:customStyle="1">
    <w:name w:val="WW8Num2"/>
    <w:qFormat/>
  </w:style>
  <w:style w:type="numbering" w:styleId="840" w:customStyle="1">
    <w:name w:val="WW8Num3"/>
    <w:qFormat/>
  </w:style>
  <w:style w:type="numbering" w:styleId="841" w:customStyle="1">
    <w:name w:val="WW8Num4"/>
    <w:qFormat/>
  </w:style>
  <w:style w:type="numbering" w:styleId="842" w:customStyle="1">
    <w:name w:val="WW8Num5"/>
    <w:qFormat/>
  </w:style>
  <w:style w:type="numbering" w:styleId="843" w:customStyle="1">
    <w:name w:val="WW8Num6"/>
    <w:qFormat/>
  </w:style>
  <w:style w:type="numbering" w:styleId="844" w:customStyle="1">
    <w:name w:val="WW8Num7"/>
    <w:qFormat/>
  </w:style>
  <w:style w:type="numbering" w:styleId="845" w:customStyle="1">
    <w:name w:val="WW8Num8"/>
    <w:qFormat/>
  </w:style>
  <w:style w:type="numbering" w:styleId="846" w:customStyle="1">
    <w:name w:val="WW8Num9"/>
    <w:qFormat/>
  </w:style>
  <w:style w:type="numbering" w:styleId="847" w:customStyle="1">
    <w:name w:val="WW8Num10"/>
    <w:qFormat/>
  </w:style>
  <w:style w:type="numbering" w:styleId="848" w:customStyle="1">
    <w:name w:val="WW8Num11"/>
    <w:qFormat/>
  </w:style>
  <w:style w:type="numbering" w:styleId="849" w:customStyle="1">
    <w:name w:val="WW8Num12"/>
    <w:qFormat/>
  </w:style>
  <w:style w:type="numbering" w:styleId="850" w:customStyle="1">
    <w:name w:val="WW8Num13"/>
    <w:qFormat/>
  </w:style>
  <w:style w:type="numbering" w:styleId="851" w:customStyle="1">
    <w:name w:val="WW8Num14"/>
    <w:qFormat/>
  </w:style>
  <w:style w:type="numbering" w:styleId="852" w:customStyle="1">
    <w:name w:val="WW8Num15"/>
    <w:qFormat/>
  </w:style>
  <w:style w:type="numbering" w:styleId="853" w:customStyle="1">
    <w:name w:val="WW8Num16"/>
    <w:qFormat/>
  </w:style>
  <w:style w:type="numbering" w:styleId="854" w:customStyle="1">
    <w:name w:val="WW8Num17"/>
    <w:qFormat/>
  </w:style>
  <w:style w:type="numbering" w:styleId="855" w:customStyle="1">
    <w:name w:val="WW8Num18"/>
    <w:qFormat/>
  </w:style>
  <w:style w:type="numbering" w:styleId="856" w:customStyle="1">
    <w:name w:val="WW8Num19"/>
    <w:qFormat/>
  </w:style>
  <w:style w:type="numbering" w:styleId="857" w:customStyle="1">
    <w:name w:val="WW8Num20"/>
    <w:qFormat/>
  </w:style>
  <w:style w:type="numbering" w:styleId="858" w:customStyle="1">
    <w:name w:val="WW8Num21"/>
    <w:qFormat/>
  </w:style>
  <w:style w:type="numbering" w:styleId="859" w:customStyle="1">
    <w:name w:val="WW8Num22"/>
    <w:qFormat/>
  </w:style>
  <w:style w:type="numbering" w:styleId="860" w:customStyle="1">
    <w:name w:val="WW8Num23"/>
    <w:qFormat/>
  </w:style>
  <w:style w:type="numbering" w:styleId="861" w:customStyle="1">
    <w:name w:val="WW8Num24"/>
    <w:qFormat/>
  </w:style>
  <w:style w:type="numbering" w:styleId="862" w:customStyle="1">
    <w:name w:val="WW8Num25"/>
    <w:qFormat/>
  </w:style>
  <w:style w:type="numbering" w:styleId="863" w:customStyle="1">
    <w:name w:val="WW8Num26"/>
    <w:qFormat/>
  </w:style>
  <w:style w:type="numbering" w:styleId="864" w:customStyle="1">
    <w:name w:val="WW8Num27"/>
    <w:qFormat/>
  </w:style>
  <w:style w:type="numbering" w:styleId="865" w:customStyle="1">
    <w:name w:val="WW8Num28"/>
    <w:qFormat/>
  </w:style>
  <w:style w:type="numbering" w:styleId="866" w:customStyle="1">
    <w:name w:val="WW8Num29"/>
    <w:qFormat/>
  </w:style>
  <w:style w:type="numbering" w:styleId="867" w:customStyle="1">
    <w:name w:val="WW8Num30"/>
    <w:qFormat/>
  </w:style>
  <w:style w:type="numbering" w:styleId="868" w:customStyle="1">
    <w:name w:val="WW8Num31"/>
    <w:qFormat/>
  </w:style>
  <w:style w:type="numbering" w:styleId="869" w:customStyle="1">
    <w:name w:val="WW8Num32"/>
    <w:qFormat/>
  </w:style>
  <w:style w:type="numbering" w:styleId="870" w:customStyle="1">
    <w:name w:val="WW8Num33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hyperlink" Target="https://www.iprbookshop.ru/97368.html" TargetMode="External"/><Relationship Id="rId14" Type="http://schemas.openxmlformats.org/officeDocument/2006/relationships/hyperlink" Target="https://www.iprbookshop.ru/86341.html" TargetMode="External"/><Relationship Id="rId15" Type="http://schemas.openxmlformats.org/officeDocument/2006/relationships/hyperlink" Target="https://www.iprbookshop.ru/92643.html" TargetMode="External"/><Relationship Id="rId16" Type="http://schemas.openxmlformats.org/officeDocument/2006/relationships/hyperlink" Target="https://www.iprbookshop.ru/87850.html" TargetMode="External"/><Relationship Id="rId17" Type="http://schemas.openxmlformats.org/officeDocument/2006/relationships/hyperlink" Target="https://www.iprbookshop.ru/87906.html" TargetMode="External"/><Relationship Id="rId18" Type="http://schemas.openxmlformats.org/officeDocument/2006/relationships/hyperlink" Target="https://www.iprbookshop.ru/87905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R7-Office/7.3.3.59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dc:language>en-US</dc:language>
  <cp:lastModifiedBy>Никита Тунев</cp:lastModifiedBy>
  <cp:revision>28</cp:revision>
  <dcterms:created xsi:type="dcterms:W3CDTF">2017-09-25T00:13:00Z</dcterms:created>
  <dcterms:modified xsi:type="dcterms:W3CDTF">2023-09-13T16:58:09Z</dcterms:modified>
</cp:coreProperties>
</file>